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0723x8k.htm"/>
      <w:bookmarkStart w:id="1" w:name="ksaeon20260723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7491e594_1653_447a_92bc_6f44a0d7071d"/>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July 23,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czkXQlaBm0eokD2SfHeCQA_2_4"/>
      <w:bookmarkStart w:id="4" w:name="Tc_GKi-AQaiL0SHbCaJ5b5YNg_2_2"/>
      <w:bookmarkStart w:id="5" w:name="Tc_S29Ddfd1eECwNLtlj3UxGg_2_0"/>
      <w:bookmarkStart w:id="6" w:name="_a3df5546_1afe_49c6_8b45_dda32ca530b0"/>
      <w:bookmarkStart w:id="7" w:name="Tc_czkXQlaBm0eokD2SfHeCQA_2_4"/>
      <w:bookmarkStart w:id="8" w:name="Tc_GKi-AQaiL0SHbCaJ5b5YNg_2_2"/>
      <w:bookmarkStart w:id="9" w:name="Tc_S29Ddfd1eECwNLtlj3UxGg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130 Vantis Dr.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Aliso Viejo, CA</w:t>
      </w:r>
      <w:r>
        <w:rPr>
          <w:rFonts w:ascii="Times New Roman;Times;serif" w:hAnsi="Times New Roman;Times;serif"/>
          <w:sz w:val="20"/>
        </w:rPr>
        <w:t xml:space="preserve"> </w:t>
      </w:r>
      <w:r>
        <w:rPr>
          <w:rFonts w:ascii="Times New Roman;Times;serif" w:hAnsi="Times New Roman;Times;serif"/>
          <w:b/>
          <w:sz w:val="16"/>
        </w:rPr>
        <w:t>92656</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Qiw5RhY_jk-gXE3OR5Suiw_1_4"/>
      <w:bookmarkStart w:id="12" w:name="Tc_ERXSdbxnDU-VgYGjaKBUUA_1_2"/>
      <w:bookmarkStart w:id="13" w:name="Tc_7c8UakgSAUmTBZae8gC0tQ_1_0"/>
      <w:bookmarkStart w:id="14" w:name="_e9e601d6_be32_4696_b167_2f5795049325"/>
      <w:bookmarkStart w:id="15" w:name="Tc_Qiw5RhY_jk-gXE3OR5Suiw_1_4"/>
      <w:bookmarkStart w:id="16" w:name="Tc_ERXSdbxnDU-VgYGjaKBUUA_1_2"/>
      <w:bookmarkStart w:id="17" w:name="Tc_7c8UakgSAUmTBZae8gC0tQ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 w:name="_6256273f_94bd_4c0a_b6ed_f3d9290cfd5d"/>
      <w:bookmarkEnd w:id="19"/>
      <w:r>
        <w:rPr>
          <w:rFonts w:ascii="Times New Roman;Times;serif" w:hAnsi="Times New Roman;Times;serif"/>
          <w:b/>
          <w:sz w:val="20"/>
        </w:rPr>
        <w:t>Item 8.01 Other Events.</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As previously reported, on July 15, 2026, AEON Biopharma, Inc. (the “Company”) completed a public offering (the “Offering”), pursuant to an underwriting agreement (the “Underwriting Agreement”) with Lake Street Capital Markets, LLC, as representative (the “Representative”) of the several underwriters named therein (the “Underwriters”). On July 23, 2026, the Company issued and sold to the Underwriters pursuant to the Representative’s partial exercise of its over-allotment option under the Underwriting Agreement, 4,696,102 shares of the Company's Class A common stock, par value $0.0001 per share (the “Common Stock”), for additional gross proceeds of approximately $1.5 million, resulting in net proceeds of approximately $1.4 million, after deducting underwriting discounts and commissions. As previously reported, the Representative previously exercised in full the portion of the over-allotment option under the Underwriting Agreement relating to the two-year milestone warrants and five-year milestone warrants, in each case to purchase 6,403,290 shares of the Common Stock or pre-funded warrants in lieu thereof. </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0" w:name="_1627122d_8dcb_4b72_b1e1_7b1aee43664d"/>
      <w:bookmarkEnd w:id="20"/>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188" w:type="dxa"/>
        <w:jc w:val="left"/>
        <w:tblInd w:w="0" w:type="dxa"/>
        <w:tblLayout w:type="fixed"/>
        <w:tblCellMar>
          <w:top w:w="0" w:type="dxa"/>
          <w:left w:w="0" w:type="dxa"/>
          <w:bottom w:w="0" w:type="dxa"/>
          <w:right w:w="0" w:type="dxa"/>
        </w:tblCellMar>
      </w:tblPr>
      <w:tblGrid>
        <w:gridCol w:w="1711"/>
        <w:gridCol w:w="406"/>
        <w:gridCol w:w="2071"/>
      </w:tblGrid>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499</Words>
  <Characters>2851</Characters>
  <CharactersWithSpaces>3358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