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713x8k.htm"/>
      <w:bookmarkStart w:id="1" w:name="ksaeon20260713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569b181c_eaf4_4c99_a96b_49e086f2b444"/>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July 13,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wbFexy4lt0SVmEFqbmg9UQ_2_4"/>
      <w:bookmarkStart w:id="4" w:name="Tc_gED4T3piS0mw_9LC51UQlw_2_2"/>
      <w:bookmarkStart w:id="5" w:name="Tc_iiW5vWNEwUaLoe0MAyjJ2w_2_0"/>
      <w:bookmarkStart w:id="6" w:name="_a3df5546_1afe_49c6_8b45_dda32ca530b0"/>
      <w:bookmarkStart w:id="7" w:name="Tc_wbFexy4lt0SVmEFqbmg9UQ_2_4"/>
      <w:bookmarkStart w:id="8" w:name="Tc_gED4T3piS0mw_9LC51UQlw_2_2"/>
      <w:bookmarkStart w:id="9" w:name="Tc_iiW5vWNEwUaLoe0MAyjJ2w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Park Plaza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Irvine, CA</w:t>
      </w:r>
      <w:r>
        <w:rPr>
          <w:rFonts w:ascii="Times New Roman;Times;serif" w:hAnsi="Times New Roman;Times;serif"/>
          <w:sz w:val="20"/>
        </w:rPr>
        <w:t xml:space="preserve"> </w:t>
      </w:r>
      <w:r>
        <w:rPr>
          <w:rFonts w:ascii="Times New Roman;Times;serif" w:hAnsi="Times New Roman;Times;serif"/>
          <w:b/>
          <w:sz w:val="16"/>
        </w:rPr>
        <w:t>92614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k6xAjAYUxE2WqFq0gFTfDw_1_4"/>
      <w:bookmarkStart w:id="12" w:name="Tc_lVqBv8l8K0SqiyXWqm1tVg_1_2"/>
      <w:bookmarkStart w:id="13" w:name="Tc_6D_kLA6os02lC5NHyJmP2Q_1_0"/>
      <w:bookmarkStart w:id="14" w:name="_e9e601d6_be32_4696_b167_2f5795049325"/>
      <w:bookmarkStart w:id="15" w:name="Tc_k6xAjAYUxE2WqFq0gFTfDw_1_4"/>
      <w:bookmarkStart w:id="16" w:name="Tc_lVqBv8l8K0SqiyXWqm1tVg_1_2"/>
      <w:bookmarkStart w:id="17" w:name="Tc_6D_kLA6os02lC5NHyJmP2Q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9" w:name="_5a5c48ba_c5f0_43f7_9d80_7fe75343d933"/>
      <w:bookmarkEnd w:id="19"/>
      <w:r>
        <w:rPr>
          <w:rFonts w:ascii="Times New Roman;Times;serif" w:hAnsi="Times New Roman;Times;serif"/>
          <w:b/>
          <w:sz w:val="20"/>
        </w:rPr>
        <w:t>Item 1.01. Entry into a Material Definitive Agreement.</w:t>
      </w:r>
      <w:r>
        <w:rPr>
          <w:rFonts w:ascii="Times New Roman;Times;serif" w:hAnsi="Times New Roman;Times;serif"/>
          <w:sz w:val="20"/>
        </w:rPr>
        <w:t xml:space="preserve"> </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On July 13, 2026, AEON Biopharma, Inc. (the “Company”) entered into an underwriting agreement (the “Underwriting Agreement”) with Lake Street Capital Markets, LLC, as representative of the several underwriters named therein (the “Representative”), relating to the Company's underwritten public offering (the “Offering”) of (i) 17,851,599 shares (the “Shares”) of the Company's Class A common stock, par value $0.0001 per share (the “Common Stock”), and (ii) pre-funded warrants to purchase 24,837,008 shares of Common Stock (the “Pre-Funded Warrants”). Each share of Common Stock and each Pre-Funded Warrant was accompanied with (i) one two-year milestone warrant to purchase shares of Common Stock (the “Two-Year Milestone Warrant”) and (ii) one five-year milestone warrant to purchase shares of Common Stock (the “Five-Year Milestone Warrant”, collectively with the Two-Year Milestone Warrant, the “Milestone Warrants,” and together with the Pre-Funded Warrants, the “Warrants”). The combined public offering price was $0.3221 per share of Common Stock and accompanying Milestone Warrants and $0.3220 per Pre-Funded Warrant and accompanying Milestone Warrants. Pursuant to the Underwriting Agreement, the Company also granted the Representative a 30-day option to purchase up to 6,403,291 additional shares of Common Stock or Pre-Funded Warrants to purchase up to 6,403,291 shares of Common Stock in lieu therof (or any combination thereof), accompanied by corresponding Milestone Warrants, solely to cover over-allotments, if any. On July 14, 2026, the Representative exercised the option to purchase Two-Year Milesonte Warrants to purchase 6,403,290 shares of Common Stock and Five-Year Milestone Warrants to purchase 6,403,290 shares of Common Stock. </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The Offering closed on July 15, 2026. The Company received net proceeds of approximately $12.2 million from the Offering, after deducting underwriting discounts and commissions and estimated offering expenses payable by the Company. The Company intends to use the net proceeds of the Offering for working capital and general corporate purposes, including conducting comparative analytical testing on ABP-450 to support biosimilarity to BOTOX®. </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Shares, the Pre-Funded Warrants and the Milestone Warrants (and underlying shares of Common Stock) were offered and sold pursuant to the Company's Registration Statement on Form S-1 (File No. 333-297327), as amended, which was declared effective by the U.S. Securities and Exchange Commission (the “SEC”) on July 13, 2026, and the related Registration Statement on Form S-1 (File No. 333-297439) filed pursuant to Rule 462(b) under the Securities Act of 1933, as amended, which became effective upon filing on July 13, 2026 (collectively, the “Registration Statement”). A final prospectus relating to the Offering was filed with the SEC pursuant to Rule 424(b)(4) under the Securities Act on July 15, 2026. The Offering was made only by means of a prospectus forming part of the Registration Statement.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The Underwriting Agreement contains customary representations, warranties and agreements by the Company, customary conditions to closing, indemnification obligations of the Company and the Underwriters, including for liabilities arising under the Securities Act, other obligations of the parties and termination provisions. The representations, warranties and covenants contained in the Underwriting Agreement were made only for the purposes of such agreement and as of specific dates, were solely for the benefit of the parties to such agreement and may be subject to limitations agreed upon by the contracting parties.</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Pursuant to the Underwriting Agreement, the Company agreed, for a period of 90 days following the date of the Underwriting Agreement, not to (i) issue, enter into any agreement to issue, or announce the issuance or proposed issuance of any shares of Common Stock or Common Stock Equivalents or (ii) file any registration statement or any amendment or supplement thereto, in each case subject to certain exceptions including issuances of Common Stock or securities convertible into or exchangeable for Common Stock by us to the extent we determine in good faith that such issuances are reasonably necessary to regain or maintain compliance with the continued listing standards of the NYSE American.. In addition, each of the Company's directors and executive officers entered into lock-up agreements pursuant to which they agreed, for a period of 90 days following the closing of the Offering, not to sell, transfer or otherwise dispose of any securities of the Company held by them.</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For a period commencing on the date of the Underwriting Agreement and ending on the earlier of (i) 180 days after the date of the Underwriting Agreement and (ii) the date on which none of the Milestone Warrants remain outstanding, the Company agreed not to effect or enter into any agreement to effect any issuance of Common Stock or Common Stock Equivalents involving a “Variable Rate Transaction” (as defined in the Underwriting Agreement), subject to the exceptions set forth therein.</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Each Pre-Funded Warrant is immediately exercisable and entitles the holder to purchase one share of Common Stock at an exercise price of $0.0001 per share. The Pre-Funded Warrants do not expire and remain exercisable until exercised in full. A holder may not exercise a Pre-Funded Warrant to the extent that, after giving effect to such exercise, the holder would beneficially own more than 4.99% (or, at the election of the holder, 9.99%) of the outstanding shares of Common Stock, subject to increase by the holder upon 61 days’ prior notice to a maximum of 19.99%.</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Each Two-Year Milestone Warrant is immediately exercisable, at the option of the holder, for either (i) one share of Common Stock at an exercise price of $0.3221 per share or (ii) one Pre-Funded Warrant in lieu thereof at an exercise price of $0.3220 per warrant. Each Two-Year Milestone Warrant expires on the earlier of (i) 5:00 p.m. (New York City time) on the second anniversary of the date of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issuance and (ii) 45 days after the Company's public announcement that it has received Type 2B meeting minutes from the U.S. Food and Drug Administration that do not preclude advancement of ABP-450 toward a Biologics License Application under the Section 351(k) biosimilar pathway.</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Each Five-Year Milestone Warrant is immediately exercisable, at the option of the holder, for either (i) one share of Common Stock at an exercise price of $0.3704 per share or (ii) one Pre-Funded Warrant at an exercise price of $0.3703 per warrant. Each Five-Year Milestone Warrant expires on the earlier of (i) 5:00 p.m. (New York City time) on the fifth anniversary of the date of issuance and (ii) 45 days following the Company's public announcement that it has initiated a Phase 3 clinical equivalence trial of ABP-450 as a biosimilar to BOTOX®.</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In connection with the Offering, on July 15, 2026, the Company entered into a Warrant Agency Agreement (the “Warrant Agency Agreement”) with Continental Stock Transfer &amp; Trust Company, as warrant agent, pursuant to which it will act as warrant agent for the Pre-Funded Warrants and the Milestone Warrants.</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Also on July 13, 2026, the Company entered into a Warrant Solicitation Agreement with Lake Street Capital Markets, LLC and Laidlaw &amp; Company (UK) Ltd., pursuant to which they have agreed to act as the Company’s solicitation agents in connection with the exercise of the Milestone Warrants. As compensation for such services, the Company has agreed to pay the solicitation agents, in certain circumstances, a cash fee based on the aggregate number of shares of Common Stock underlying the Milestone Warrants (the “Milestone Warrant Securities”) issued upon the cash exercise of the Milestone Warrants. The applicable fee will equal (i) 3.0% of the cash exercise proceeds received by the Company with respect to Milestone Warrant Securities issued upon cash exercise of Milestone Warrants for up to 24,545,948 Milestone Warrant Securities, (ii) 3.75% of the cash exercise proceeds received by the Company with respect to Milestone Warrant Securities issued upon cash exercise of Milestone Warrants for 24,545,949 to 49,091,896 Milestone Warrant Securities and (iii) 4.50% of the cash exercise proceeds received by the Company with respect to Milestone Warrant Securities issued upon cash exercise of Milestone Warrants for 49,091,897 to 98,183,796 Milestone Warrant Securities, in each case subject to adjustment as provided in the Warrant Solicitation Agreement and in accordance with FINRA Rule 5110(g)(10). If a cash exercise results in Milestone Warrant Securities being issued across more than one fee tier, the applicable fee will be allocated on a pro rata basis among the applicable tiers.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 foregoing descriptions of the Underwriting Agreement, the Pre-Funded Warrants, the Milestone Warrants, the Warrant Agency Agreement and the Warrant Solicitation Agreement do not purport to be complete and are qualified in their entirety by reference to the full text of such agreements and instruments, copies or forms of which are filed as exhibits to, or incorporated by reference into, this Current Report on Form 8-K.</w:t>
      </w:r>
    </w:p>
    <w:p>
      <w:pPr>
        <w:pStyle w:val="TextBody"/>
        <w:bidi w:val="0"/>
        <w:spacing w:before="0" w:after="0"/>
        <w:ind w:left="0" w:right="0" w:hanging="0"/>
        <w:jc w:val="left"/>
        <w:rPr>
          <w:rFonts w:ascii="Times New Roman;Times;serif" w:hAnsi="Times New Roman;Times;serif"/>
          <w:b/>
          <w:sz w:val="20"/>
        </w:rPr>
      </w:pPr>
      <w:bookmarkStart w:id="20" w:name="_207d5425_6768_4639_aede_0dedecb0fcea"/>
      <w:bookmarkEnd w:id="20"/>
      <w:r>
        <w:rPr>
          <w:rFonts w:ascii="Times New Roman;Times;serif" w:hAnsi="Times New Roman;Times;serif"/>
          <w:b/>
          <w:sz w:val="20"/>
        </w:rPr>
        <w:t>Item 8.01 Other Events.</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 xml:space="preserve">On July 14, 2026, the Company issued a press release announcing the pricing of the Offering, a copy of which is attached hereto as Exhibit 99.1 and incorporated herein by reference. </w:t>
      </w:r>
    </w:p>
    <w:p>
      <w:pPr>
        <w:pStyle w:val="TextBody"/>
        <w:bidi w:val="0"/>
        <w:spacing w:before="0" w:after="240"/>
        <w:ind w:left="0" w:right="0" w:hanging="0"/>
        <w:jc w:val="left"/>
        <w:rPr>
          <w:rFonts w:ascii="Times New Roman;Times;serif" w:hAnsi="Times New Roman;Times;serif"/>
          <w:b/>
          <w:sz w:val="20"/>
        </w:rPr>
      </w:pPr>
      <w:bookmarkStart w:id="21" w:name="_5eda031c_ef00_47cb_a04d_d0e1bc547333"/>
      <w:bookmarkEnd w:id="21"/>
      <w:r>
        <w:rPr>
          <w:rFonts w:ascii="Times New Roman;Times;serif" w:hAnsi="Times New Roman;Times;serif"/>
          <w:b/>
          <w:sz w:val="20"/>
        </w:rPr>
        <w:t>Item 9.01. Financial Statement and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2" w:name="_86160adb_29cd_42a0_b246_9dffaba0cbb2"/>
      <w:bookmarkEnd w:id="22"/>
      <w:r>
        <w:rPr/>
        <w:t>​</w:t>
      </w:r>
    </w:p>
    <w:tbl>
      <w:tblPr>
        <w:tblW w:w="10205" w:type="dxa"/>
        <w:jc w:val="left"/>
        <w:tblInd w:w="0" w:type="dxa"/>
        <w:tblLayout w:type="fixed"/>
        <w:tblCellMar>
          <w:top w:w="0" w:type="dxa"/>
          <w:left w:w="0" w:type="dxa"/>
          <w:bottom w:w="0" w:type="dxa"/>
          <w:right w:w="0" w:type="dxa"/>
        </w:tblCellMar>
      </w:tblPr>
      <w:tblGrid>
        <w:gridCol w:w="655"/>
        <w:gridCol w:w="286"/>
        <w:gridCol w:w="55"/>
        <w:gridCol w:w="109"/>
        <w:gridCol w:w="54"/>
        <w:gridCol w:w="770"/>
        <w:gridCol w:w="1520"/>
        <w:gridCol w:w="1520"/>
        <w:gridCol w:w="1520"/>
        <w:gridCol w:w="1520"/>
        <w:gridCol w:w="2196"/>
      </w:tblGrid>
      <w:tr>
        <w:trPr/>
        <w:tc>
          <w:tcPr>
            <w:tcW w:w="655" w:type="dxa"/>
            <w:tcBorders/>
            <w:vAlign w:val="center"/>
          </w:tcPr>
          <w:p>
            <w:pPr>
              <w:pStyle w:val="TableContents"/>
              <w:bidi w:val="0"/>
              <w:spacing w:before="0" w:after="283"/>
              <w:ind w:left="0" w:right="0" w:hanging="0"/>
              <w:jc w:val="left"/>
              <w:rPr>
                <w:sz w:val="4"/>
                <w:szCs w:val="4"/>
              </w:rPr>
            </w:pPr>
            <w:r>
              <w:rPr>
                <w:sz w:val="4"/>
                <w:szCs w:val="4"/>
              </w:rPr>
            </w:r>
          </w:p>
        </w:tc>
        <w:tc>
          <w:tcPr>
            <w:tcW w:w="341"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24"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2196" w:type="dxa"/>
            <w:tcBorders/>
            <w:vAlign w:val="center"/>
          </w:tcPr>
          <w:p>
            <w:pPr>
              <w:pStyle w:val="TableContents"/>
              <w:bidi w:val="0"/>
              <w:spacing w:before="0" w:after="283"/>
              <w:ind w:left="0" w:right="0" w:hanging="0"/>
              <w:jc w:val="left"/>
              <w:rPr>
                <w:sz w:val="4"/>
                <w:szCs w:val="4"/>
              </w:rPr>
            </w:pPr>
            <w:r>
              <w:rPr>
                <w:sz w:val="4"/>
                <w:szCs w:val="4"/>
              </w:rPr>
            </w:r>
          </w:p>
        </w:tc>
      </w:tr>
      <w:tr>
        <w:trPr/>
        <w:tc>
          <w:tcPr>
            <w:tcW w:w="655" w:type="dxa"/>
            <w:tcBorders/>
            <w:vAlign w:val="center"/>
          </w:tcPr>
          <w:p>
            <w:pPr>
              <w:pStyle w:val="TableContents"/>
              <w:bidi w:val="0"/>
              <w:spacing w:before="0" w:after="283"/>
              <w:ind w:left="0" w:right="0" w:hanging="0"/>
              <w:jc w:val="left"/>
              <w:rPr>
                <w:sz w:val="4"/>
                <w:szCs w:val="4"/>
              </w:rPr>
            </w:pPr>
            <w:r>
              <w:rPr>
                <w:sz w:val="4"/>
                <w:szCs w:val="4"/>
              </w:rPr>
            </w:r>
          </w:p>
        </w:tc>
        <w:tc>
          <w:tcPr>
            <w:tcW w:w="341"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24"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1520" w:type="dxa"/>
            <w:tcBorders/>
            <w:vAlign w:val="center"/>
          </w:tcPr>
          <w:p>
            <w:pPr>
              <w:pStyle w:val="TableContents"/>
              <w:bidi w:val="0"/>
              <w:spacing w:before="0" w:after="283"/>
              <w:ind w:left="0" w:right="0" w:hanging="0"/>
              <w:jc w:val="left"/>
              <w:rPr>
                <w:sz w:val="4"/>
                <w:szCs w:val="4"/>
              </w:rPr>
            </w:pPr>
            <w:r>
              <w:rPr>
                <w:sz w:val="4"/>
                <w:szCs w:val="4"/>
              </w:rPr>
            </w:r>
          </w:p>
        </w:tc>
        <w:tc>
          <w:tcPr>
            <w:tcW w:w="2196" w:type="dxa"/>
            <w:tcBorders/>
            <w:vAlign w:val="center"/>
          </w:tcPr>
          <w:p>
            <w:pPr>
              <w:pStyle w:val="TableContents"/>
              <w:bidi w:val="0"/>
              <w:spacing w:before="0" w:after="283"/>
              <w:ind w:left="0" w:right="0" w:hanging="0"/>
              <w:jc w:val="left"/>
              <w:rPr>
                <w:sz w:val="4"/>
                <w:szCs w:val="4"/>
              </w:rPr>
            </w:pPr>
            <w:r>
              <w:rPr>
                <w:sz w:val="4"/>
                <w:szCs w:val="4"/>
              </w:rPr>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218" w:type="dxa"/>
            <w:gridSpan w:val="3"/>
            <w:tcBorders/>
            <w:vAlign w:val="center"/>
          </w:tcPr>
          <w:p>
            <w:pPr>
              <w:pStyle w:val="TableContents"/>
              <w:bidi w:val="0"/>
              <w:spacing w:before="0" w:after="283"/>
              <w:ind w:left="0" w:right="0" w:hanging="0"/>
              <w:jc w:val="left"/>
              <w:rPr>
                <w:sz w:val="4"/>
                <w:szCs w:val="4"/>
              </w:rPr>
            </w:pPr>
            <w:r>
              <w:rPr>
                <w:sz w:val="4"/>
                <w:szCs w:val="4"/>
              </w:rPr>
            </w:r>
          </w:p>
        </w:tc>
        <w:tc>
          <w:tcPr>
            <w:tcW w:w="9046" w:type="dxa"/>
            <w:gridSpan w:val="6"/>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941" w:type="dxa"/>
            <w:gridSpan w:val="2"/>
            <w:tcBorders/>
            <w:vAlign w:val="center"/>
          </w:tcPr>
          <w:p>
            <w:pPr>
              <w:pStyle w:val="TableContents"/>
              <w:bidi w:val="0"/>
              <w:spacing w:before="0" w:after="0"/>
              <w:ind w:left="0" w:right="0" w:hanging="0"/>
              <w:jc w:val="center"/>
              <w:rPr/>
            </w:pPr>
            <w:r>
              <w:rPr/>
              <w:t>​</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center"/>
              <w:rPr/>
            </w:pPr>
            <w:r>
              <w:rPr/>
              <w:t>​</w:t>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1d1.htm">
              <w:r>
                <w:rPr>
                  <w:rStyle w:val="InternetLink"/>
                  <w:rFonts w:ascii="Times New Roman;Times;serif" w:hAnsi="Times New Roman;Times;serif"/>
                  <w:b w:val="false"/>
                  <w:i w:val="false"/>
                  <w:caps w:val="false"/>
                  <w:smallCaps w:val="false"/>
                  <w:sz w:val="20"/>
                </w:rPr>
                <w:t>Underwriting Agreement, by and between the Company and Lake Street Capital Markets, LLC as representative of the several underwriters named herein, dated as of July 13, 2026.</w:t>
              </w:r>
            </w:hyperlink>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218" w:type="dxa"/>
            <w:gridSpan w:val="3"/>
            <w:tcBorders/>
            <w:vAlign w:val="center"/>
          </w:tcPr>
          <w:p>
            <w:pPr>
              <w:pStyle w:val="TableContents"/>
              <w:bidi w:val="0"/>
              <w:spacing w:before="0" w:after="283"/>
              <w:ind w:left="0" w:right="0" w:hanging="0"/>
              <w:jc w:val="left"/>
              <w:rPr>
                <w:sz w:val="4"/>
                <w:szCs w:val="4"/>
              </w:rPr>
            </w:pPr>
            <w:r>
              <w:rPr>
                <w:sz w:val="4"/>
                <w:szCs w:val="4"/>
              </w:rPr>
            </w:r>
          </w:p>
        </w:tc>
        <w:tc>
          <w:tcPr>
            <w:tcW w:w="9046" w:type="dxa"/>
            <w:gridSpan w:val="6"/>
            <w:tcBorders/>
            <w:vAlign w:val="center"/>
          </w:tcPr>
          <w:p>
            <w:pPr>
              <w:pStyle w:val="TableContents"/>
              <w:bidi w:val="0"/>
              <w:spacing w:before="0" w:after="0"/>
              <w:ind w:left="0" w:right="0" w:hanging="0"/>
              <w:jc w:val="left"/>
              <w:rPr/>
            </w:pPr>
            <w:hyperlink w:anchor="aeon-20260713xex4d1.htm">
              <w:r>
                <w:rPr>
                  <w:rStyle w:val="InternetLink"/>
                  <w:rFonts w:ascii="Times New Roman;Times;serif" w:hAnsi="Times New Roman;Times;serif"/>
                  <w:b w:val="false"/>
                  <w:i w:val="false"/>
                  <w:caps w:val="false"/>
                  <w:smallCaps w:val="false"/>
                  <w:sz w:val="20"/>
                </w:rPr>
                <w:t>Form of Pre-Funded Warrant.</w:t>
              </w:r>
            </w:hyperlink>
            <w:r>
              <w:rPr>
                <w:rFonts w:ascii="Times New Roman;Times;serif" w:hAnsi="Times New Roman;Times;serif"/>
                <w:sz w:val="20"/>
              </w:rPr>
              <w:t xml:space="preserve"> </w:t>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4d2.htm">
              <w:r>
                <w:rPr>
                  <w:rStyle w:val="InternetLink"/>
                  <w:rFonts w:ascii="Times New Roman;Times;serif" w:hAnsi="Times New Roman;Times;serif"/>
                  <w:b w:val="false"/>
                  <w:i w:val="false"/>
                  <w:caps w:val="false"/>
                  <w:smallCaps w:val="false"/>
                  <w:sz w:val="20"/>
                </w:rPr>
                <w:t>Form of Two-Year Milestone Warrant.</w:t>
              </w:r>
            </w:hyperlink>
            <w:r>
              <w:rPr>
                <w:rFonts w:ascii="Times New Roman;Times;serif" w:hAnsi="Times New Roman;Times;serif"/>
                <w:sz w:val="20"/>
              </w:rPr>
              <w:t xml:space="preserve"> </w:t>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4d3.htm">
              <w:r>
                <w:rPr>
                  <w:rStyle w:val="InternetLink"/>
                  <w:rFonts w:ascii="Times New Roman;Times;serif" w:hAnsi="Times New Roman;Times;serif"/>
                  <w:b w:val="false"/>
                  <w:i w:val="false"/>
                  <w:caps w:val="false"/>
                  <w:smallCaps w:val="false"/>
                  <w:sz w:val="20"/>
                </w:rPr>
                <w:t>Form of Five-Year Milestone Warrant.</w:t>
              </w:r>
            </w:hyperlink>
            <w:r>
              <w:rPr>
                <w:rFonts w:ascii="Times New Roman;Times;serif" w:hAnsi="Times New Roman;Times;serif"/>
                <w:sz w:val="20"/>
              </w:rPr>
              <w:t xml:space="preserve"> </w:t>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4d4.htm">
              <w:r>
                <w:rPr>
                  <w:rStyle w:val="InternetLink"/>
                  <w:rFonts w:ascii="Times New Roman;Times;serif" w:hAnsi="Times New Roman;Times;serif"/>
                  <w:b w:val="false"/>
                  <w:i w:val="false"/>
                  <w:caps w:val="false"/>
                  <w:smallCaps w:val="false"/>
                  <w:sz w:val="20"/>
                </w:rPr>
                <w:t>Warrant Agency Agreement, dated as of July 15, 2026, by and between AEON Biopharma, Inc. and Continental Stock Transfer &amp; Trust Company, as warrant agent.</w:t>
              </w:r>
            </w:hyperlink>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10d1.htm">
              <w:r>
                <w:rPr>
                  <w:rStyle w:val="InternetLink"/>
                  <w:rFonts w:ascii="Times New Roman;Times;serif" w:hAnsi="Times New Roman;Times;serif"/>
                  <w:b w:val="false"/>
                  <w:i w:val="false"/>
                  <w:caps w:val="false"/>
                  <w:smallCaps w:val="false"/>
                  <w:sz w:val="20"/>
                </w:rPr>
                <w:t>Warrant Solicitation Agreement, dated as of July 13, 2026, by and among the Company, Lake Street Capital Markets, LLC and Laidlaw &amp; Company (UK) Ltd.</w:t>
              </w:r>
            </w:hyperlink>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pPr>
            <w:hyperlink w:anchor="aeon-20260713xex99d1.htm">
              <w:r>
                <w:rPr>
                  <w:rStyle w:val="InternetLink"/>
                  <w:rFonts w:ascii="Times New Roman;Times;serif" w:hAnsi="Times New Roman;Times;serif"/>
                  <w:b w:val="false"/>
                  <w:i w:val="false"/>
                  <w:caps w:val="false"/>
                  <w:smallCaps w:val="false"/>
                  <w:sz w:val="20"/>
                </w:rPr>
                <w:t>Press Release dated July 14, 2026.</w:t>
              </w:r>
            </w:hyperlink>
            <w:r>
              <w:rPr>
                <w:rFonts w:ascii="Times New Roman;Times;serif" w:hAnsi="Times New Roman;Times;serif"/>
                <w:sz w:val="20"/>
              </w:rPr>
              <w:t xml:space="preserve"> </w:t>
            </w:r>
          </w:p>
        </w:tc>
      </w:tr>
      <w:tr>
        <w:trPr/>
        <w:tc>
          <w:tcPr>
            <w:tcW w:w="94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18" w:type="dxa"/>
            <w:gridSpan w:val="3"/>
            <w:tcBorders/>
            <w:vAlign w:val="center"/>
          </w:tcPr>
          <w:p>
            <w:pPr>
              <w:pStyle w:val="TableContents"/>
              <w:bidi w:val="0"/>
              <w:spacing w:before="0" w:after="0"/>
              <w:ind w:left="0" w:right="0" w:hanging="0"/>
              <w:jc w:val="left"/>
              <w:rPr/>
            </w:pPr>
            <w:r>
              <w:rPr/>
              <w:t>​</w:t>
            </w:r>
          </w:p>
        </w:tc>
        <w:tc>
          <w:tcPr>
            <w:tcW w:w="9046" w:type="dxa"/>
            <w:gridSpan w:val="6"/>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d448aae4_de87_4c50_8277_778da051e40b"/>
      <w:bookmarkEnd w:id="23"/>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188" w:type="dxa"/>
        <w:jc w:val="left"/>
        <w:tblInd w:w="0" w:type="dxa"/>
        <w:tblLayout w:type="fixed"/>
        <w:tblCellMar>
          <w:top w:w="0" w:type="dxa"/>
          <w:left w:w="0" w:type="dxa"/>
          <w:bottom w:w="0" w:type="dxa"/>
          <w:right w:w="0" w:type="dxa"/>
        </w:tblCellMar>
      </w:tblPr>
      <w:tblGrid>
        <w:gridCol w:w="1711"/>
        <w:gridCol w:w="406"/>
        <w:gridCol w:w="2071"/>
      </w:tblGrid>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247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15,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71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2"/>
        </w:rPr>
      </w:pPr>
      <w:bookmarkStart w:id="24" w:name="aeon-20260713xex1d1.htm"/>
      <w:bookmarkStart w:id="25" w:name="ksaeon20260713xex1d1"/>
      <w:bookmarkEnd w:id="24"/>
      <w:bookmarkEnd w:id="25"/>
      <w:r>
        <w:rPr>
          <w:rFonts w:ascii="Times New Roman;Times;serif" w:hAnsi="Times New Roman;Times;serif"/>
          <w:sz w:val="22"/>
        </w:rPr>
        <w:t>Exhibit 1.1</w:t>
      </w:r>
      <w:r>
        <w:br w:type="page"/>
      </w:r>
    </w:p>
    <w:p>
      <w:pPr>
        <w:pStyle w:val="TextBody"/>
        <w:bidi w:val="0"/>
        <w:spacing w:before="0" w:after="0"/>
        <w:ind w:left="0" w:right="0" w:hanging="0"/>
        <w:jc w:val="right"/>
        <w:rPr>
          <w:rFonts w:ascii="Times New Roman;Times;serif" w:hAnsi="Times New Roman;Times;serif"/>
          <w:b/>
          <w:i/>
          <w:sz w:val="22"/>
        </w:rPr>
      </w:pPr>
      <w:r>
        <w:rPr>
          <w:rFonts w:ascii="Times New Roman;Times;serif" w:hAnsi="Times New Roman;Times;serif"/>
          <w:b/>
          <w:i/>
          <w:sz w:val="22"/>
        </w:rPr>
        <w:t>EXECUTION VERSION</w:t>
      </w:r>
    </w:p>
    <w:p>
      <w:pPr>
        <w:pStyle w:val="TextBody"/>
        <w:bidi w:val="0"/>
        <w:spacing w:before="240" w:after="0"/>
        <w:ind w:left="0" w:right="0" w:hanging="0"/>
        <w:jc w:val="center"/>
        <w:rPr>
          <w:rFonts w:ascii="Times New Roman;Times;serif" w:hAnsi="Times New Roman;Times;serif"/>
          <w:sz w:val="24"/>
        </w:rPr>
      </w:pPr>
      <w:bookmarkStart w:id="26" w:name="_Hlk217941198"/>
      <w:bookmarkEnd w:id="26"/>
      <w:r>
        <w:rPr>
          <w:rFonts w:ascii="Times New Roman;Times;serif" w:hAnsi="Times New Roman;Times;serif"/>
          <w:sz w:val="24"/>
        </w:rPr>
        <w:t>AEON Biopharma, Inc.</w:t>
        <w:br/>
        <w:br/>
        <w:t>17,851,599 Shares of Class A Common Stock</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Pre-Funded Warrants to Purchase 24,837,008 Shares of Class A Common Stock</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Two-Year Milestone Warrants to Purchase 42,688,607 Shares of Class A Common Stock (or Pre-Funded Warrants in lieu thereof)</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Five-Year Milestone Warrants to Purchase 42,688,607 Shares of Class A Common Stock (or Pre-Funded Warrants in lieu thereof)</w:t>
      </w:r>
    </w:p>
    <w:p>
      <w:pPr>
        <w:pStyle w:val="TextBody"/>
        <w:bidi w:val="0"/>
        <w:spacing w:before="240" w:after="0"/>
        <w:ind w:left="0" w:right="0" w:hanging="0"/>
        <w:jc w:val="center"/>
        <w:rPr>
          <w:rFonts w:ascii="Times New Roman;Times;serif" w:hAnsi="Times New Roman;Times;serif"/>
          <w:sz w:val="24"/>
        </w:rPr>
      </w:pPr>
      <w:r>
        <w:rPr>
          <w:rFonts w:ascii="Times New Roman;Times;serif" w:hAnsi="Times New Roman;Times;serif"/>
          <w:sz w:val="24"/>
        </w:rPr>
        <w:t>Underwriting Agreement</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July 13, 2026</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Lake Street Capital Markets,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Representative of</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the several Underwriters listed in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1 to the Underwriting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 Lake Street Capital Markets, LLC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4"/>
        </w:rPr>
        <w:t>121 South 8</w:t>
      </w:r>
      <w:r>
        <w:rPr>
          <w:rFonts w:ascii="Times New Roman;Times;serif" w:hAnsi="Times New Roman;Times;serif"/>
          <w:sz w:val="18"/>
        </w:rPr>
        <w:t>th</w:t>
      </w:r>
      <w:r>
        <w:rPr>
          <w:rFonts w:ascii="Times New Roman;Times;serif" w:hAnsi="Times New Roman;Times;serif"/>
          <w:sz w:val="22"/>
        </w:rPr>
        <w:t xml:space="preserve"> </w:t>
      </w:r>
      <w:r>
        <w:rPr>
          <w:rFonts w:ascii="Times New Roman;Times;serif" w:hAnsi="Times New Roman;Times;serif"/>
          <w:sz w:val="24"/>
        </w:rPr>
        <w:t>Street, Ste. 1000</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Minneapolis, MN 55402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4"/>
        </w:rPr>
        <w:t xml:space="preserve">AEON Biopharma, Inc., a Delaware corporation (the “Company”), proposes to issue and sell to the several underwriters listed in Schedule 1 hereto (the “Underwriters”), for whom you are acting as representative (the “Representative”), an aggregate of </w:t>
      </w:r>
      <w:bookmarkStart w:id="27" w:name="_9kMIH5YVtAB569A"/>
      <w:bookmarkEnd w:id="27"/>
      <w:r>
        <w:rPr>
          <w:rFonts w:ascii="Times New Roman;Times;serif" w:hAnsi="Times New Roman;Times;serif"/>
          <w:sz w:val="24"/>
        </w:rPr>
        <w:t>(i) 17,851,599 shares of Class A common stock, par value $0.0001 per share (the “Common Stock”), of the Company (the “Firm Shares”), (ii) pre-funded warrants to purchase 24,837,008 shares of Common Stock</w:t>
      </w:r>
      <w:r>
        <w:rPr>
          <w:rFonts w:ascii="Times New Roman;Times;serif" w:hAnsi="Times New Roman;Times;serif"/>
          <w:sz w:val="22"/>
        </w:rPr>
        <w:t xml:space="preserve"> </w:t>
      </w:r>
      <w:r>
        <w:rPr>
          <w:rFonts w:ascii="Times New Roman;Times;serif" w:hAnsi="Times New Roman;Times;serif"/>
          <w:sz w:val="24"/>
        </w:rPr>
        <w:t>substantially in the form of Exhibit D hereto (the “Pre-Funded Warrants”), (iii) two-year milestone warrants to purchase 42,688,607 shares of Common Stock (or Pre-Funded Warrants in lieu thereof) substantially in the form of Exhibit E hereto (the “Two-Year Milestone Warrants”), (iv) five-year milestone warrants to purchase  42,688,607 shares of Common Stock (or Pre-Funded Warrants in lieu thereof)</w:t>
      </w:r>
      <w:r>
        <w:rPr>
          <w:rFonts w:ascii="Times New Roman;Times;serif" w:hAnsi="Times New Roman;Times;serif"/>
          <w:sz w:val="22"/>
        </w:rPr>
        <w:t xml:space="preserve"> </w:t>
      </w:r>
      <w:r>
        <w:rPr>
          <w:rFonts w:ascii="Times New Roman;Times;serif" w:hAnsi="Times New Roman;Times;serif"/>
          <w:sz w:val="24"/>
        </w:rPr>
        <w:t>substantially in the form of Exhibit F hereto (the “Five-Year Milestone Warrants,” together with the Two-Year Milestone Warrants, the “Common Warrants,” and together with the Firm Shares, the “Firm Securities”) and (v), at the option of the Underwriters, up to any combination of an additional 6,403,290 shares of Common Stock (the “Option Shares” and together with the Firm Shares, the “Shares”</w:t>
      </w:r>
      <w:bookmarkStart w:id="28" w:name="_9kR3WTr5DA47A"/>
      <w:bookmarkEnd w:id="28"/>
      <w:r>
        <w:rPr>
          <w:rFonts w:ascii="Times New Roman;Times;serif" w:hAnsi="Times New Roman;Times;serif"/>
          <w:sz w:val="24"/>
        </w:rPr>
        <w:t>), and/or Pre-Funded Warrants to purchase 6,403,290 shares of Common Stock (the “Pre-Funded Option Warrants”) (for the avoidance of doubt, the maximum number of Option Shares and Pre-Funded Option Warrants that may be purchased in the aggregate pursuant to this option is 6,403,290), and/or Two-Year Milestone Warrants to purchase 6,403,290 shares of Common Stock (or Pre-Funded Warrants in lieu thereof) (the “Two-Year Milestone Option Warrants”) and/or Five-Year Milestone Warrants to purchase 6,403,290 shares of Common Stock (the “Five-Year Milestone Option Warrants,” together with the Two-</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Year Milestone Option Warrants, the “Option Common Warrants” and together with the Pre-Funded Option Warrants, the “Option Warrants” and together with the Option Shares, the “Option Securities”).</w:t>
      </w:r>
      <w:r>
        <w:rPr>
          <w:rFonts w:ascii="Times New Roman;Times;serif" w:hAnsi="Times New Roman;Times;serif"/>
          <w:sz w:val="22"/>
        </w:rPr>
        <w:t xml:space="preserve"> </w:t>
      </w:r>
      <w:r>
        <w:rPr>
          <w:rFonts w:ascii="Times New Roman;Times;serif" w:hAnsi="Times New Roman;Times;serif"/>
          <w:sz w:val="24"/>
        </w:rPr>
        <w:t>The Pre-Funded Warrants, the Common Warrants and the Option Warrants are collectively herein referred to as the “Warrants.” The shares of Common Stock issuable upon exercise of the Pre-Funded Warrants, the Common Warrants and the Option Warrants are collectively herein referred to as the “Warrant Shares.” The Firm Securities and the Option Securities are collectively herein referred to as the “Securities.” The shares of Common Stock of the Company to be outstanding after giving effect to the sale of the Securities are referred to herein as the “Stock.”  Each (i) Pre-Funded Warrant has an exercise price of $0.0001 per share of Common Stock, (ii) Two-Year Milestone Warrant has an exercise price of $0.3221 per share of Common Stock and (iii) Five-Year Milestone Warrant has an exercise price of $0.3704 per share of Common Stock.</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hereby confirms its agreement with the several Underwriters concerning the purchase and sale of the Securities, as follows: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1.</w:t>
      </w:r>
      <w:r>
        <w:rPr>
          <w:rFonts w:ascii="Times New Roman;Times;serif" w:hAnsi="Times New Roman;Times;serif"/>
          <w:sz w:val="24"/>
          <w:u w:val="single"/>
        </w:rPr>
        <w:t>Registration Statement</w:t>
      </w:r>
      <w:r>
        <w:rPr>
          <w:rFonts w:ascii="Times New Roman;Times;serif" w:hAnsi="Times New Roman;Times;serif"/>
          <w:sz w:val="24"/>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333-297327), including a prospectus, relating to the Securities and the Warrant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At or prior to the Applicable Time (as defined below), the Company had prepared the following information (collectively with the pricing information set forth on Annex A, the “Pricing Disclosure Package”): a Preliminary Prospectus dated July 13, 2026, and each “free-writing prospectus” (as defined pursuant to Rule 405 under the Securities Act) listed on Annex A hereto. </w:t>
      </w:r>
    </w:p>
    <w:p>
      <w:pPr>
        <w:pStyle w:val="TextBody"/>
        <w:bidi w:val="0"/>
        <w:spacing w:before="0" w:after="240"/>
        <w:ind w:left="0" w:right="0" w:firstLine="720"/>
        <w:jc w:val="left"/>
        <w:rPr/>
      </w:pPr>
      <w:r>
        <w:rPr/>
        <w:t>“</w:t>
      </w:r>
      <w:r>
        <w:rPr>
          <w:rFonts w:ascii="Times New Roman;Times;serif" w:hAnsi="Times New Roman;Times;serif"/>
          <w:sz w:val="24"/>
        </w:rPr>
        <w:t xml:space="preserve">Applicable Time” means 6:00 </w:t>
      </w:r>
      <w:bookmarkStart w:id="29" w:name="_9kR3WTr6GC457Io"/>
      <w:bookmarkEnd w:id="29"/>
      <w:r>
        <w:rPr>
          <w:rFonts w:ascii="Times New Roman;Times;serif" w:hAnsi="Times New Roman;Times;serif"/>
          <w:sz w:val="24"/>
        </w:rPr>
        <w:t>P.M., New York City time, on July 13, 2026.</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2.</w:t>
      </w:r>
      <w:r>
        <w:rPr>
          <w:rFonts w:ascii="Times New Roman;Times;serif" w:hAnsi="Times New Roman;Times;serif"/>
          <w:sz w:val="24"/>
          <w:u w:val="single"/>
        </w:rPr>
        <w:t>Purchase of the Securities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(a)On the basis of the representations and warranties herein contained and subject to the terms and conditions herein set forth, the Company agrees to sell to the several Underwriters,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and the Underwriters agree to purchase from the Company, at the combined purchase price for one share of Common Stock and accompanying Two-Year Milestone Warrant to purchase one share of Common Stock (or a Pre-Funded Warrant in lieu thereof) and accompanying Five-Year Milestone Warrant to purchase one share of Common Stock (or a Pre-Funded Warrant in lieu thereof) of $0.29953 (the “Firm Share Purchase Price”), or the combined purchase price for a Pre-Funded Warrant to purchase one share of Common Stock and accompanying Two-Year Milestone Warrant to purchase one share of Common Stock (or a Pre-Funded Warrant in lieu thereof) and accompanying Five-Year Milestone Warrant to purchase one share of Common Stock (or a Pre-Funded Warrant in lieu thereof) of $0.29946 (the “Firm Pre-Funded Warrant Purchase Price”), the number of Firm Securities set for the opposite such Underwriter’s name on Schedule 1 hereto; provided, that the Firm Share Purchase Price shall be $0.305995 and the Firm Pre-Funded Warrant Purchase Price shall be $0.3059 with respect to purchases for certain specified investors as agreed-upon by the Representative and the Company.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The Company hereby grants to the Representative an option to purchase up to any combination of 6,403,290 Option Shares at a purchase price per share of $0.299529 and/or Option Pre-Funded Warrants to purchase 6,403,290 shares of Common Stock at a purchase price per warrant of $0.299459, representing in aggregate up to 15% of the sum of the Firm Shares (for the avoidance of doubt, the maximum number of Option Shares and Pre-Funded Option Warrants that may be purchased in the aggregate pursuant to this option is 6,403,290) and/or Two-Year Milestone Option Warrants to purchase 6,403,290 shares of Common Stock (or a Pre-Funded Warrant in lieu thereof) and/or 6,403,290 Five-Year Milestone Option Warrants to purchase 6,403,290 shares of Common Stock (or a Pre-Funded Warrant in lieu thereof), at a purchase price per Option Common Warrant of $0.000001. If any Option Securities are to be purchased, the number of Option Securities to be purchased by each Underwriter shall be the number of Option Securities which bears the same ratio to the aggregate number of Option Securities being purchased as the number of Firm Securities set forth opposite the name of such Underwriter in Schedule 1 hereto (or such number increased as set forth in Section 10 hereof) bears to the aggregate number of Firm Securities being purchased from the Company by the several Underwriters, subject, however, to such adjustments to eliminate any fractional Shares as the Representative in its sole discretion shall make.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4"/>
        </w:rPr>
        <w:t>The Representative may exercise the option to purchase the Option Securities at any time in whole, or from time to time in part, on or before the thirtieth (30th) day following the date of the Prospectus, by written notice from the Representative to the Company</w:t>
      </w:r>
      <w:bookmarkStart w:id="30" w:name="_9kMHG5YVt7FC69C"/>
      <w:bookmarkEnd w:id="30"/>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Such notice shall set forth the aggregate number and type of Option Securities as to which the option is being exercised and the date and time when the applicable Option Securities are to be delivered and paid for, which may be the same date and time as the Closing Date (as hereinafter defined) but shall not be earlier than the Closing Date nor later than the tenth (10th) full business day (as hereinafter defined) after the date of such notice</w:t>
      </w:r>
      <w:bookmarkStart w:id="31" w:name="_9kMIH5YVt7FC69C"/>
      <w:bookmarkEnd w:id="31"/>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 xml:space="preserve">Any such notice shall be given at least two business days prior to the date and time of delivery specified therein,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if such date and time of delivery are the same as the Closing Date, such notice may be given one business day prior to such date and time of delivery.</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Company understands that the Underwriters intend to make a public offering of the Securities, and initially to offer the Securities on the terms set forth in the Pricing Disclosure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Package.  The Company acknowledges and agrees that the Underwriters may offer and sell Securities to or through any affiliate of the Underwriters.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(c)Payment for the Securities shall be made by wire transfer in immediately available funds to the account specified by the Company to the Representative in the case of the Firm Securities, at the offices of Faegre Drinker Biddle &amp; Reath LLP, counsel for the Underwriter, at 2200 Wells Fargo Center 90 S. Seventh Street, Minneapolis, Minnesota 55402 at 10:00 A.M. New York City time on July 15, 2026, or at such other time or place on the same or such other date, not later than the fifth (5th) business day thereafter, as the Underwriter and the Company may agree upon in writing, or, in the case of the Option Securities, on the date and at the time and place specified by the Representative in the written notice of the Representative’s election to purchase such Option Securities.  The time and date of such payment for the Firm Securities is referred to herein as the “Closing Date,” and the time and date for such payment for the Option Securities, if other than the Closing Date, is herein referred to as the “Additional Closing Date.”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(d)Payment for the Securities to be purchased on the Closing Date</w:t>
      </w:r>
      <w:r>
        <w:rPr>
          <w:rFonts w:ascii="Times New Roman;Times;serif" w:hAnsi="Times New Roman;Times;serif"/>
          <w:color w:val="0000FF"/>
          <w:sz w:val="22"/>
          <w:shd w:fill="FFFFFF" w:val="clear"/>
        </w:rPr>
        <w:t xml:space="preserve"> </w:t>
      </w:r>
      <w:r>
        <w:rPr>
          <w:rFonts w:ascii="Times New Roman;Times;serif" w:hAnsi="Times New Roman;Times;serif"/>
          <w:sz w:val="24"/>
        </w:rPr>
        <w:t>or the Additional Closing Date, as the case may be, shall be made against delivery to the Representative for the respective accounts of the several Underwriters of the Securities to be purchased on such date or the Additional Closing Date, as the case may be, with any transfer taxes payable in connection with the sale of such Securities duly paid by the Company.  Delivery of the Shares shall be made through the facilities of The Depository Trust Company (“DTC”) unless the Representative shall otherwise instruct</w:t>
      </w:r>
      <w:bookmarkStart w:id="32" w:name="_9kMJI5YVt7FC69C"/>
      <w:bookmarkEnd w:id="32"/>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The certificates for the Shares will be made available for inspection and packaging by the Representative at the office of DTC or its designated custodian not later than 1:00 P.M., New York City time, on the business day prior to the Closing Date or the Additional Closing Date, as the case may be.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Warrants shall be delivered to the Representative for the respective accounts of the several Underwriters in definitive form, registered in such names and in such denominations as the Representative shall request in writing not later than the applicable Closing Time. The Warrants will be made available for inspection by the Representative on the business day prior to the Closing Date or the Additional Closing Date, as the case may be, and the Company shall deliver such Warrants to such purchasers on such date in definitive paper form against such payment, in lieu of the Company’s obligation to deliver such Warrants to the Representative for the respective accounts of the several Underwriters. The Company acknowledges and agrees that each Underwriter is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the Underwriters are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not have any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3.</w:t>
      </w:r>
      <w:r>
        <w:rPr>
          <w:rFonts w:ascii="Times New Roman;Times;serif" w:hAnsi="Times New Roman;Times;serif"/>
          <w:sz w:val="24"/>
          <w:u w:val="single"/>
        </w:rPr>
        <w:t>Representations and Warranties of the Company</w:t>
      </w:r>
      <w:r>
        <w:rPr>
          <w:rFonts w:ascii="Times New Roman;Times;serif" w:hAnsi="Times New Roman;Times;serif"/>
          <w:sz w:val="24"/>
        </w:rPr>
        <w:t>.  The Company represents and warrants to each Underwriter that: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Preliminary Prospectus</w:t>
      </w:r>
      <w:bookmarkStart w:id="33" w:name="_9kMKJ5YVt7FC69C"/>
      <w:bookmarkEnd w:id="33"/>
      <w:r>
        <w:rPr>
          <w:rFonts w:ascii="Times New Roman;Times;serif" w:hAnsi="Times New Roman;Times;serif"/>
          <w:i/>
          <w:sz w:val="24"/>
        </w:rPr>
        <w:t>.</w:t>
      </w:r>
      <w:r>
        <w:rPr>
          <w:rFonts w:ascii="Times New Roman;Times;serif" w:hAnsi="Times New Roman;Times;serif"/>
          <w:sz w:val="22"/>
        </w:rPr>
        <w:t xml:space="preserve">  </w:t>
      </w:r>
      <w:r>
        <w:rPr>
          <w:rFonts w:ascii="Times New Roman;Times;serif" w:hAnsi="Times New Roman;Times;serif"/>
          <w:sz w:val="24"/>
        </w:rPr>
        <w:t xml:space="preserve">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Company makes no representation or warranty with respect to any statements or omissions made in reliance upon and in conformity with information relating to any Underwriter furnished to the Company in writing by the Representative expressly for use in any Preliminary Prospectus, it being understood and agreed that the only such information furnished by the Representative consists of the information described as such in Section 7(b) 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Pricing Disclosure Package</w:t>
      </w:r>
      <w:r>
        <w:rPr>
          <w:rFonts w:ascii="Times New Roman;Times;serif" w:hAnsi="Times New Roman;Times;serif"/>
          <w:sz w:val="24"/>
        </w:rPr>
        <w:t xml:space="preserve">.  The Pricing Disclosure Package as of the Applicable Time did not, and as of the Closing Date or the Applicable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 xml:space="preserve">that the Company makes no representation or warranty with respect to any statements or omissions made in reliance upon and in conformity with information relating to any Underwriter furnished to the Company in writing by the Representative expressly for use in such Pricing Disclosure Package, it being understood and agreed that the only such information furnished by the Representative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Issuer Free Writing Prospectus.  </w:t>
      </w:r>
      <w:r>
        <w:rPr>
          <w:rFonts w:ascii="Times New Roman;Times;serif" w:hAnsi="Times New Roman;Times;serif"/>
          <w:sz w:val="24"/>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 xml:space="preserve">Preliminary Prospectus, accompanying, or delivered prior to delivery of such Issuer Free Writing Prospectus, did not, and as of the Closing Date or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Company makes no representation or warranty with respect to any statements or omissions made in each such Issuer Free Writing Prospectus or Preliminary Prospectus in reliance upon and in conformity with information relating to the Underwriters furnished to the Company in writing by the Representative expressly for use in such Issuer Free Writing Prospectus or Preliminary Prospectus, it being understood and agreed that the only such information furnished by the Representative consists of the information described as such in Section 7(b) 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i/>
          <w:sz w:val="24"/>
        </w:rPr>
        <w:t>Testing-the-Waters Materials.  </w:t>
      </w:r>
      <w:r>
        <w:rPr>
          <w:rFonts w:ascii="Times New Roman;Times;serif" w:hAnsi="Times New Roman;Times;serif"/>
          <w:sz w:val="24"/>
        </w:rPr>
        <w:t>The Company (i) has not alone engaged in any Testing-the-Waters Communications other than Testing-the-Waters Communications with the consent of the Representative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Underwriters to engage in Testing-the-Waters Communications.  The Company reconfirms that the Underwriters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or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(e)</w:t>
      </w:r>
      <w:r>
        <w:rPr>
          <w:rFonts w:ascii="Times New Roman;Times;serif" w:hAnsi="Times New Roman;Times;serif"/>
          <w:i/>
          <w:sz w:val="24"/>
        </w:rPr>
        <w:t>Registration Statement and Prospectus.</w:t>
      </w:r>
      <w:r>
        <w:rPr>
          <w:rFonts w:ascii="Times New Roman;Times;serif" w:hAnsi="Times New Roman;Times;serif"/>
          <w:sz w:val="22"/>
        </w:rPr>
        <w:t xml:space="preserve">  </w:t>
      </w:r>
      <w:r>
        <w:rPr>
          <w:rFonts w:ascii="Times New Roman;Times;serif" w:hAnsi="Times New Roman;Times;serif"/>
          <w:sz w:val="24"/>
        </w:rPr>
        <w:t>The Registration Statement has been declared effective by the Commission</w:t>
      </w:r>
      <w:bookmarkStart w:id="34" w:name="_9kMLK5YVt7FC69C"/>
      <w:bookmarkEnd w:id="34"/>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 xml:space="preserve">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 xml:space="preserve">therein or necessary in order to make the statements therein not misleading; and as of the date of the Prospectus and any amendment or supplement thereto and as of the Closing Date and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Company makes no representation or warranty with respect to any statements or omissions made in reliance upon and in conformity with information relating to the Underwriters furnished to the Company in writing by the Representative expressly for use in the Registration Statement and the Prospectus and any amendment or supplement thereto, it being understood and agreed that the only such information furnished by the Representative consists of the information described as such in Section 7(b) 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(f)</w:t>
      </w:r>
      <w:r>
        <w:rPr>
          <w:rFonts w:ascii="Times New Roman;Times;serif" w:hAnsi="Times New Roman;Times;serif"/>
          <w:i/>
          <w:sz w:val="24"/>
        </w:rPr>
        <w:t>Financial Statements.</w:t>
      </w:r>
      <w:r>
        <w:rPr>
          <w:rFonts w:ascii="Times New Roman;Times;serif" w:hAnsi="Times New Roman;Times;serif"/>
          <w:sz w:val="22"/>
        </w:rPr>
        <w:t xml:space="preserve">  </w:t>
      </w:r>
      <w:r>
        <w:rPr>
          <w:rFonts w:ascii="Times New Roman;Times;serif" w:hAnsi="Times New Roman;Times;serif"/>
          <w:sz w:val="24"/>
        </w:rPr>
        <w:t>The financial statements (including the related notes thereto) of the Company and its subsidiary incorporated by reference into the Registration Statement, the Pricing Disclosure Package and the Prospectus comply in all material respects with the applicable requirements of the Securities Act and present fairly the financial position of the Company and its subsidiary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incorporated by reference into the Registration Statement present fairly the information required to be stated therein; the other financial information incorporated by reference into the Registration Statement, the Pricing Disclosure Package and the Prospectus has been derived from the accounting records of the Company and its subsidiary and presents fairly the information shown thereby; all disclosures incorporated by reference into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and the pro forma financial information and the related notes thereto, if any, incorporated by reference into the Registration Statement, the Pricing Disclosure Package and the Prospectus have been prepared in accordance with the applicable requirements of the Securities Act and the assumptions underlying such pro forma financial information are reasonable and are set forth in the Registration Statement, the Pricing Disclosure Package and the Prospectus.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(g)</w:t>
      </w:r>
      <w:r>
        <w:rPr>
          <w:rFonts w:ascii="Times New Roman;Times;serif" w:hAnsi="Times New Roman;Times;serif"/>
          <w:i/>
          <w:sz w:val="24"/>
        </w:rPr>
        <w:t>No Material Adverse Change.</w:t>
      </w:r>
      <w:r>
        <w:rPr>
          <w:rFonts w:ascii="Times New Roman;Times;serif" w:hAnsi="Times New Roman;Times;serif"/>
          <w:sz w:val="22"/>
        </w:rPr>
        <w:t xml:space="preserve">  </w:t>
      </w:r>
      <w:r>
        <w:rPr>
          <w:rFonts w:ascii="Times New Roman;Times;serif" w:hAnsi="Times New Roman;Times;serif"/>
          <w:sz w:val="24"/>
        </w:rPr>
        <w:t xml:space="preserve">Since the date of the most recent financial statements of the Company incorporated by reference into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or long-term debt of the Company or its subsidiary, or any dividend or distribution of any kind declared, set aside for payment, paid or made by the Company on any class of capital stock, or any material adverse change,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or any development involving a prospective material adverse change, in or affecting the business, properties, management, financial position, stockholders’ equity, or results of operations of the Company and its subsidiary taken as a whole; (ii) neither the Company nor its subsidiary has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and (iii) neither the Company nor its subsidiary has sustained any loss or interference with its business that is material to the Company and its subsidiary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(h)</w:t>
      </w:r>
      <w:r>
        <w:rPr>
          <w:rFonts w:ascii="Times New Roman;Times;serif" w:hAnsi="Times New Roman;Times;serif"/>
          <w:i/>
          <w:sz w:val="24"/>
        </w:rPr>
        <w:t>Organization and Good Standing.</w:t>
      </w:r>
      <w:r>
        <w:rPr>
          <w:rFonts w:ascii="Times New Roman;Times;serif" w:hAnsi="Times New Roman;Times;serif"/>
          <w:sz w:val="22"/>
        </w:rPr>
        <w:t xml:space="preserve">  </w:t>
      </w:r>
      <w:r>
        <w:rPr>
          <w:rFonts w:ascii="Times New Roman;Times;serif" w:hAnsi="Times New Roman;Times;serif"/>
          <w:sz w:val="24"/>
        </w:rPr>
        <w:t>The Company and its subsidiary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result in a material adverse effect on the business, properties, management, financial position, stockholders’ equity, or results of operations of the Company and its subsidiary taken as a whole or on the performance by the Company of its obligations under this Agreement (a “Material Adverse Effect”); provided that a change in the market price or trading volume of the Common Stock alone shall not, in and of itself, constitute a Material Adverse Effect, and adverse effects resulting solely from or relating solely to the following shall not be taken into account in determining whether a Material Adverse Effect has occurred, except, in the case of clauses (A), (B) and (D) below, to the extent the impact on the Company and its subsidiary, taken as a whole, is materially disproportionate to the impact on other companies operating in the same industry: (A) general economic conditions or conditions in financial, banking or securities markets; (B) general conditions in the industry or industry sectors in which the Company operates; (C) natural disasters, national or international political or social conditions, acts of terrorism, sabotage, military action or war, or any escalation or worsening thereof; or (D) changes in applicable laws, governmental regulations or interpretations thereof. The Company does not own or control, directly or indirectly, any corporation, association or other entity other than the subsidiary listed in Exhibit 21.1 to the Registration Statement.  The subsidiary listed in Schedule 2 to this Agreement is the only significant subsidiary of the Company.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(i)</w:t>
      </w:r>
      <w:r>
        <w:rPr>
          <w:rFonts w:ascii="Times New Roman;Times;serif" w:hAnsi="Times New Roman;Times;serif"/>
          <w:i/>
          <w:sz w:val="24"/>
        </w:rPr>
        <w:t>Capitalization.</w:t>
      </w:r>
      <w:r>
        <w:rPr>
          <w:rFonts w:ascii="Times New Roman;Times;serif" w:hAnsi="Times New Roman;Times;serif"/>
          <w:sz w:val="22"/>
        </w:rPr>
        <w:t xml:space="preserve">  </w:t>
      </w:r>
      <w:r>
        <w:rPr>
          <w:rFonts w:ascii="Times New Roman;Times;serif" w:hAnsi="Times New Roman;Times;serif"/>
          <w:sz w:val="24"/>
        </w:rPr>
        <w:t xml:space="preserve">The Company has an authorized capitalization as set forth in the Registration Statement, the Pricing Disclosure Package and 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its subsidiary,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(j)</w:t>
      </w:r>
      <w:r>
        <w:rPr>
          <w:rFonts w:ascii="Times New Roman;Times;serif" w:hAnsi="Times New Roman;Times;serif"/>
          <w:i/>
          <w:sz w:val="24"/>
        </w:rPr>
        <w:t>Stock Options.  </w:t>
      </w:r>
      <w:r>
        <w:rPr>
          <w:rFonts w:ascii="Times New Roman;Times;serif" w:hAnsi="Times New Roman;Times;serif"/>
          <w:sz w:val="24"/>
        </w:rPr>
        <w:t>With respect to the stock options (the “Stock Options”) granted pursuant to the stock-based compensation plans of the Company and its subsidiary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NYSE American LLC (“NYSE American”) and any other exchange on which Company securities are traded, and (iv) each such grant was properly accounted for in accordance with GAAP in the financial statements (including the related notes) of the Company</w:t>
      </w:r>
      <w:bookmarkStart w:id="35" w:name="_9kMML5YVt7FC69C"/>
      <w:bookmarkEnd w:id="35"/>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subsidiary or their results of operations.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(k)</w:t>
      </w:r>
      <w:r>
        <w:rPr>
          <w:rFonts w:ascii="Times New Roman;Times;serif" w:hAnsi="Times New Roman;Times;serif"/>
          <w:i/>
          <w:sz w:val="24"/>
        </w:rPr>
        <w:t>Due Authorization.</w:t>
      </w:r>
      <w:r>
        <w:rPr>
          <w:rFonts w:ascii="Times New Roman;Times;serif" w:hAnsi="Times New Roman;Times;serif"/>
          <w:sz w:val="22"/>
        </w:rPr>
        <w:t xml:space="preserve">  </w:t>
      </w:r>
      <w:r>
        <w:rPr>
          <w:rFonts w:ascii="Times New Roman;Times;serif" w:hAnsi="Times New Roman;Times;serif"/>
          <w:sz w:val="24"/>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(l)</w:t>
      </w:r>
      <w:r>
        <w:rPr>
          <w:rFonts w:ascii="Times New Roman;Times;serif" w:hAnsi="Times New Roman;Times;serif"/>
          <w:i/>
          <w:sz w:val="24"/>
        </w:rPr>
        <w:t>Underwriting Agreement</w:t>
      </w:r>
      <w:bookmarkStart w:id="36" w:name="_9kMNM5YVt7FC69C"/>
      <w:bookmarkEnd w:id="36"/>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This Agreement has been duly authorized, executed and delivered by the Company.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(m)</w:t>
      </w:r>
      <w:r>
        <w:rPr>
          <w:rFonts w:ascii="Times New Roman;Times;serif" w:hAnsi="Times New Roman;Times;serif"/>
          <w:i/>
          <w:sz w:val="24"/>
        </w:rPr>
        <w:t>The Securities.  </w:t>
      </w:r>
      <w:r>
        <w:rPr>
          <w:rFonts w:ascii="Times New Roman;Times;serif" w:hAnsi="Times New Roman;Times;serif"/>
          <w:sz w:val="24"/>
        </w:rPr>
        <w:t xml:space="preserve">The Securities to be issued and sold by the Company hereunder have been duly authorized by the Company and, when issued and delivered and paid for as provided herein, the Shares will be duly and validly issued, will be fully paid and nonassessable, and will conform to the description thereof in the Registration Statement, the Pricing Disclosure Package and the Prospectus; and the issuance of the Shares is not subject to any preemptive or similar rights. The Warrants, when issued, paid for and delivered as provided herein, will be duly and validly issued, and will conform to the descriptions thereof in the Registration Statement, the Pricing Disclosure Package and the Prospectus; and the issuance of the Warrants is not subject to any preemptive or similar rights. The Warrant Shares have been duly authorized and validly reserved for issuance upon exercise of the Warrants in a number sufficient to meet the current exercise requirements and, when issued and delivered upon exercise of the applicable Warrant in accordance with the terms thereof, will be validly issued, fully paid and nonassessable.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(n)</w:t>
      </w:r>
      <w:r>
        <w:rPr>
          <w:rFonts w:ascii="Times New Roman;Times;serif" w:hAnsi="Times New Roman;Times;serif"/>
          <w:i/>
          <w:sz w:val="24"/>
        </w:rPr>
        <w:t>Description of the Underwriting Agreement.</w:t>
      </w:r>
      <w:r>
        <w:rPr>
          <w:rFonts w:ascii="Times New Roman;Times;serif" w:hAnsi="Times New Roman;Times;serif"/>
          <w:sz w:val="22"/>
        </w:rPr>
        <w:t xml:space="preserve">  </w:t>
      </w:r>
      <w:r>
        <w:rPr>
          <w:rFonts w:ascii="Times New Roman;Times;serif" w:hAnsi="Times New Roman;Times;serif"/>
          <w:sz w:val="24"/>
        </w:rPr>
        <w:t>This Agreement conforms in all material respects to the description thereof contained in the Registration Statement, the Pricing Disclosure Package and the Prospectus.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(o)</w:t>
      </w:r>
      <w:r>
        <w:rPr>
          <w:rFonts w:ascii="Times New Roman;Times;serif" w:hAnsi="Times New Roman;Times;serif"/>
          <w:i/>
          <w:sz w:val="24"/>
        </w:rPr>
        <w:t>No Violation or Default.</w:t>
      </w:r>
      <w:r>
        <w:rPr>
          <w:rFonts w:ascii="Times New Roman;Times;serif" w:hAnsi="Times New Roman;Times;serif"/>
          <w:sz w:val="22"/>
        </w:rPr>
        <w:t xml:space="preserve">  </w:t>
      </w:r>
      <w:r>
        <w:rPr>
          <w:rFonts w:ascii="Times New Roman;Times;serif" w:hAnsi="Times New Roman;Times;serif"/>
          <w:sz w:val="24"/>
        </w:rPr>
        <w:t xml:space="preserve">Neither the Company nor its subsidiary is </w:t>
      </w:r>
      <w:r>
        <w:rPr>
          <w:rFonts w:ascii="Times New Roman;Times;serif" w:hAnsi="Times New Roman;Times;serif"/>
          <w:spacing w:val="-3"/>
          <w:sz w:val="24"/>
        </w:rPr>
        <w:t xml:space="preserve">(i)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its subsidiary is a party or by which the Company or its subsidiary is bound or to which any property or asset of the Company or its subsidiary is subject; or (iii) in violation of any law or statute or any judgment, order, rule or regulation of any </w:t>
      </w:r>
      <w:r>
        <w:rPr>
          <w:rFonts w:ascii="Times New Roman;Times;serif" w:hAnsi="Times New Roman;Times;serif"/>
          <w:sz w:val="24"/>
        </w:rPr>
        <w:t>court or arbitrator or governmental or regulatory authority</w:t>
      </w:r>
      <w:r>
        <w:rPr>
          <w:rFonts w:ascii="Times New Roman;Times;serif" w:hAnsi="Times New Roman;Times;serif"/>
          <w:spacing w:val="-3"/>
          <w:sz w:val="24"/>
        </w:rPr>
        <w:t>, except, in the case of clauses (ii) and (iii) above, for any such default or violation that would not, individually or in the aggregate, reasonably be expected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(p)</w:t>
      </w:r>
      <w:r>
        <w:rPr>
          <w:rFonts w:ascii="Times New Roman;Times;serif" w:hAnsi="Times New Roman;Times;serif"/>
          <w:i/>
          <w:spacing w:val="-3"/>
          <w:sz w:val="24"/>
        </w:rPr>
        <w:t>No Conflicts.  </w:t>
      </w:r>
      <w:r>
        <w:rPr>
          <w:rFonts w:ascii="Times New Roman;Times;serif" w:hAnsi="Times New Roman;Times;serif"/>
          <w:spacing w:val="-3"/>
          <w:sz w:val="24"/>
        </w:rPr>
        <w:t>The execution, delivery and performance by the Company of this Agreement and the Warrants, the issuance and sale of the Shares and the Warrants and the consummation of the transactions contemplated by this Agreement will not (i) conflict with or result in a breach or violation</w:t>
      </w:r>
      <w:r>
        <w:rPr>
          <w:rFonts w:ascii="Times New Roman;Times;serif" w:hAnsi="Times New Roman;Times;serif"/>
          <w:sz w:val="22"/>
        </w:rPr>
        <w:t xml:space="preserve"> </w:t>
      </w:r>
      <w:r>
        <w:rPr>
          <w:rFonts w:ascii="Times New Roman;Times;serif" w:hAnsi="Times New Roman;Times;serif"/>
          <w:sz w:val="24"/>
        </w:rPr>
        <w:t>of any of the terms or provisions of, or constitute a default under, result in the termination, modification or acceleration of, or result in the creation or imposition of any lien, charge or encumbrance upon any property, right or asset of the Company or its subsidiary pursuant to, any indenture, mortgage, deed of trust, loan agreement or other agreement or instrument to which the Company or its subsidiary is a party or by which the Company or its subsidiary is bound or to which any property, right or asset of the Company or its subsidiary is subject, (ii) result in any violation of the provisions of the charter or by-laws or similar organizational documents of the Company or its subsidiary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result in a Material Adverse Effect.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(q)</w:t>
      </w:r>
      <w:r>
        <w:rPr>
          <w:rFonts w:ascii="Times New Roman;Times;serif" w:hAnsi="Times New Roman;Times;serif"/>
          <w:i/>
          <w:sz w:val="24"/>
        </w:rPr>
        <w:t>No Consents Required.</w:t>
      </w:r>
      <w:r>
        <w:rPr>
          <w:rFonts w:ascii="Times New Roman;Times;serif" w:hAnsi="Times New Roman;Times;serif"/>
          <w:sz w:val="22"/>
        </w:rPr>
        <w:t xml:space="preserve">  </w:t>
      </w:r>
      <w:r>
        <w:rPr>
          <w:rFonts w:ascii="Times New Roman;Times;serif" w:hAnsi="Times New Roman;Times;serif"/>
          <w:sz w:val="24"/>
        </w:rPr>
        <w:t xml:space="preserve">No consent, approval, authorization, order, registration or qualification of or with any court or arbitrator or governmental or regulatory authority is required for the execution, delivery and performance by the Company of this Agreement, the issuance and sale of the Securities and the </w:t>
      </w:r>
      <w:r>
        <w:rPr>
          <w:rFonts w:ascii="Times New Roman;Times;serif" w:hAnsi="Times New Roman;Times;serif"/>
          <w:spacing w:val="-3"/>
          <w:sz w:val="24"/>
        </w:rPr>
        <w:t>consummation of the transactions contemplated by this Agreement</w:t>
      </w:r>
      <w:r>
        <w:rPr>
          <w:rFonts w:ascii="Times New Roman;Times;serif" w:hAnsi="Times New Roman;Times;serif"/>
          <w:sz w:val="24"/>
        </w:rPr>
        <w:t xml:space="preserve">, except for </w:t>
      </w:r>
      <w:r>
        <w:rPr>
          <w:rFonts w:ascii="Times New Roman;Times;serif" w:hAnsi="Times New Roman;Times;serif"/>
          <w:spacing w:val="-3"/>
          <w:sz w:val="24"/>
        </w:rPr>
        <w:t>the registration of the Shares and the Warrants under the Securities Act and</w:t>
      </w:r>
      <w:r>
        <w:rPr>
          <w:rFonts w:ascii="Times New Roman;Times;serif" w:hAnsi="Times New Roman;Times;serif"/>
          <w:sz w:val="22"/>
        </w:rPr>
        <w:t xml:space="preserve"> </w:t>
      </w:r>
      <w:r>
        <w:rPr>
          <w:rFonts w:ascii="Times New Roman;Times;serif" w:hAnsi="Times New Roman;Times;serif"/>
          <w:sz w:val="24"/>
        </w:rPr>
        <w:t>such consents, approvals, authorizations, orders and registrations or qualifications as may be required by the Financial Industry Regulatory Authority, Inc. (“FINRA”) and under applicable state securities laws in connection with the purchase and distribution of the Securities by the Underwriters.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(r)</w:t>
      </w:r>
      <w:r>
        <w:rPr>
          <w:rFonts w:ascii="Times New Roman;Times;serif" w:hAnsi="Times New Roman;Times;serif"/>
          <w:i/>
          <w:sz w:val="24"/>
        </w:rPr>
        <w:t>Legal Proceedings.</w:t>
      </w:r>
      <w:r>
        <w:rPr>
          <w:rFonts w:ascii="Times New Roman;Times;serif" w:hAnsi="Times New Roman;Times;serif"/>
          <w:sz w:val="22"/>
        </w:rPr>
        <w:t xml:space="preserve">  </w:t>
      </w:r>
      <w:r>
        <w:rPr>
          <w:rFonts w:ascii="Times New Roman;Times;serif" w:hAnsi="Times New Roman;Times;serif"/>
          <w:sz w:val="24"/>
        </w:rPr>
        <w:t>Except as described in the Registration Statement, the Pricing Disclosure Package and the Prospectus, there are no legal, governmental or regulatory investigations, actions, demands, claims, suits, arbitrations, inquiries or proceedings (“Actions”) pending to which the Company or its subsidiary is or may be a party or to which any property of the Company or its subsidiary is or may be the subject that, individually or in the aggregate, if determined adversely to the Company or its subsidiary, would reasonably be expected to result in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(s)</w:t>
      </w:r>
      <w:r>
        <w:rPr>
          <w:rFonts w:ascii="Times New Roman;Times;serif" w:hAnsi="Times New Roman;Times;serif"/>
          <w:i/>
          <w:sz w:val="24"/>
        </w:rPr>
        <w:t>Independent Accountants</w:t>
      </w:r>
      <w:r>
        <w:rPr>
          <w:rFonts w:ascii="Times New Roman;Times;serif" w:hAnsi="Times New Roman;Times;serif"/>
          <w:sz w:val="24"/>
        </w:rPr>
        <w:t>.  KPMG LLP (the “Accountant”) is the independent registered public accounting firm with respect to the Company and its subsidiary within the applicable rules and regulations adopted by the Commission and the Public Company Accounting Oversight Board (United States) and as required by the Securities Act.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(t)</w:t>
      </w:r>
      <w:r>
        <w:rPr>
          <w:rFonts w:ascii="Times New Roman;Times;serif" w:hAnsi="Times New Roman;Times;serif"/>
          <w:i/>
          <w:sz w:val="24"/>
        </w:rPr>
        <w:t>Title to Real and Personal Property</w:t>
      </w:r>
      <w:r>
        <w:rPr>
          <w:rFonts w:ascii="Times New Roman;Times;serif" w:hAnsi="Times New Roman;Times;serif"/>
          <w:sz w:val="24"/>
        </w:rPr>
        <w:t>.  The Company and its subsidiary have good and marketable title in fee simple to, or have valid rights to lease or otherwise use, all items of real and personal property that are material to the respective businesses of the Company and its subsidiary, in each case free and clear of all liens, encumbrances, claims and defects and imperfections of title except those that (i) do not materially interfere with the use made and proposed to be made of such property by the Company and its subsidiary or (ii) would not reasonably be expected, individually or in the aggregate,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(u)</w:t>
      </w:r>
      <w:r>
        <w:rPr>
          <w:rFonts w:ascii="Times New Roman;Times;serif" w:hAnsi="Times New Roman;Times;serif"/>
          <w:i/>
          <w:spacing w:val="-3"/>
          <w:sz w:val="24"/>
        </w:rPr>
        <w:t>Intellectual Property.</w:t>
      </w:r>
      <w:r>
        <w:rPr>
          <w:rFonts w:ascii="Times New Roman;Times;serif" w:hAnsi="Times New Roman;Times;serif"/>
          <w:spacing w:val="-3"/>
          <w:sz w:val="22"/>
        </w:rPr>
        <w:t xml:space="preserve">  </w:t>
      </w:r>
      <w:r>
        <w:rPr>
          <w:rFonts w:ascii="Times New Roman;Times;serif" w:hAnsi="Times New Roman;Times;serif"/>
          <w:spacing w:val="-3"/>
          <w:sz w:val="24"/>
        </w:rPr>
        <w:t xml:space="preserve">The Company and its subsidiary own, possess, license or otherwise have rights to use the patents, patent applications, copyrights, trademarks, service marks, trade names, trade secrets, know-how and other intellectual property rights that are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pacing w:val="-3"/>
          <w:sz w:val="24"/>
        </w:rPr>
      </w:pPr>
      <w:r>
        <w:rPr>
          <w:rFonts w:ascii="Times New Roman;Times;serif" w:hAnsi="Times New Roman;Times;serif"/>
          <w:spacing w:val="-3"/>
          <w:sz w:val="24"/>
        </w:rPr>
        <w:t>material to the conduct of their businesses as currently conducted and as described in the Registration Statement, the Pricing Disclosure Package and the Prospectus (collectively, the “Intellectual Property Rights”).  Except as described in the Registration Statement, the Pricing Disclosure Package and the Prospectus, (i) there is no pending or, to the Company’s knowledge, threatened action, suit, proceeding or claim alleging that the conduct of the business of the Company or its subsidiary as currently conducted infringes, misappropriates or otherwise violates any Intellectual Property Rights of any person; (ii) to the Company’s knowledge, no person is infringing, misappropriating or otherwise violating any Intellectual Property Rights owned by or exclusively licensed to the Company or its subsidiary in a manner that would reasonably be expected to result in a Material Adverse Effect; (iii) all material agreements pursuant to which Intellectual Property Rights are licensed to the Company or its subsidiary are in full force and effect, and neither the Company nor its subsidiary has received written notice of any material breach or default by it thereunder that has not been cured or waived; (iv) there is no pending or, to the Company’s knowledge, threatened action, suit, proceeding or claim by any third party challenging the validity, ownership or enforceability of any Intellectual Property Rights owned by or exclusively licensed to the Company or its subsidiary that are material to the conduct of their businesses as currently conducted; and (v) the Company and its subsidiary have taken commercially reasonable measures to protect the secrecy and confidentiality of material trade secrets and other material confidential Intellectual Property Rights, except where the failure to do so would not, individually or in the aggregate, reasonably be expected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(v)</w:t>
      </w:r>
      <w:r>
        <w:rPr>
          <w:rFonts w:ascii="Times New Roman;Times;serif" w:hAnsi="Times New Roman;Times;serif"/>
          <w:i/>
          <w:sz w:val="24"/>
        </w:rPr>
        <w:t>No Undisclosed Relationships</w:t>
      </w:r>
      <w:r>
        <w:rPr>
          <w:rFonts w:ascii="Times New Roman;Times;serif" w:hAnsi="Times New Roman;Times;serif"/>
          <w:sz w:val="24"/>
        </w:rPr>
        <w:t>.  No relationship, direct or indirect, exists between or among the Company or its subsidiary on the one hand, and the directors, officers, stockholders, customers, suppliers or other affiliates of the Company or its subsidiary, on the other, that is required by the Securities Act to be described in each of the Registration Statement and the Prospectus and that is not so described in such documents and in the Pricing Disclosure Package.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(w)</w:t>
      </w:r>
      <w:r>
        <w:rPr>
          <w:rFonts w:ascii="Times New Roman;Times;serif" w:hAnsi="Times New Roman;Times;serif"/>
          <w:i/>
          <w:sz w:val="24"/>
        </w:rPr>
        <w:t>Investment Company Act</w:t>
      </w:r>
      <w:r>
        <w:rPr>
          <w:rFonts w:ascii="Times New Roman;Times;serif" w:hAnsi="Times New Roman;Times;serif"/>
          <w:sz w:val="24"/>
        </w:rPr>
        <w:t>.  The Company is not and, after giving effect to the offering and sale of the Securities, and the issuance of the Warrant Shares upon due exercise of the Warrants and the application of the proceeds thereof as described in the Registration Statement, the Pricing Disclosure Package and the Prospectus, will not be required to register as an “investment company” within the meaning of the Investment Company Act of 1940, as amended, and the rules and regulations of the Commission thereunder (collectively, the “Investment Company Act”).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(x)</w:t>
      </w:r>
      <w:r>
        <w:rPr>
          <w:rFonts w:ascii="Times New Roman;Times;serif" w:hAnsi="Times New Roman;Times;serif"/>
          <w:i/>
          <w:sz w:val="24"/>
        </w:rPr>
        <w:t>Taxes.</w:t>
      </w:r>
      <w:r>
        <w:rPr>
          <w:rFonts w:ascii="Times New Roman;Times;serif" w:hAnsi="Times New Roman;Times;serif"/>
          <w:sz w:val="22"/>
        </w:rPr>
        <w:t xml:space="preserve">  </w:t>
      </w:r>
      <w:r>
        <w:rPr>
          <w:rFonts w:ascii="Times New Roman;Times;serif" w:hAnsi="Times New Roman;Times;serif"/>
          <w:sz w:val="24"/>
        </w:rPr>
        <w:t xml:space="preserve">The Company and its subsidiary have paid all federal, state, local and foreign taxes and filed all tax returns required to be paid or filed through the date hereof, except for such taxes, if any as are being contested in good faith and as to which adequate reserves have been established by the Company and except where the failure to file would not reasonably be expected to result in a Material Adverse Effect; and except as otherwise disclosed in each of the Registration Statement, the Pricing Disclosure Package and the Prospectus, there is no tax deficiency that has been, or could reasonably be expected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to be, asserted against the Company or its subsidiary or any of their respective properties or assets.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(y)</w:t>
      </w:r>
      <w:r>
        <w:rPr>
          <w:rFonts w:ascii="Times New Roman;Times;serif" w:hAnsi="Times New Roman;Times;serif"/>
          <w:i/>
          <w:sz w:val="24"/>
        </w:rPr>
        <w:t>Licenses and Permits.</w:t>
      </w:r>
      <w:r>
        <w:rPr>
          <w:rFonts w:ascii="Times New Roman;Times;serif" w:hAnsi="Times New Roman;Times;serif"/>
          <w:sz w:val="22"/>
        </w:rPr>
        <w:t xml:space="preserve">  </w:t>
      </w:r>
      <w:r>
        <w:rPr>
          <w:rFonts w:ascii="Times New Roman;Times;serif" w:hAnsi="Times New Roman;Times;serif"/>
          <w:sz w:val="24"/>
        </w:rPr>
        <w:t>The Company and its subsidiary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w:t>
      </w:r>
      <w:r>
        <w:rPr>
          <w:rFonts w:ascii="Times New Roman;Times;serif" w:hAnsi="Times New Roman;Times;serif"/>
          <w:sz w:val="22"/>
        </w:rPr>
        <w:t xml:space="preserve"> </w:t>
      </w:r>
      <w:r>
        <w:rPr>
          <w:rFonts w:ascii="Times New Roman;Times;serif" w:hAnsi="Times New Roman;Times;serif"/>
          <w:sz w:val="24"/>
        </w:rPr>
        <w:t>as described in each of the Registration Statement, the Pricing Disclosure Package and the Prospectus, except where the failure to possess or make the same would not, individually or in the aggregate, reasonably be expected to result in a Material Adverse Effect; and except as described in each of the Registration Statement, the Pricing Disclosure Package and the Prospectus, neither the Company nor its subsidiary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individually or in the aggregate, reasonably be expected to result in a Material Adverse Effect.  The Company and its subsidiary (i) are in compliance with all statutes, rules and regulations applicable to their businesses (“Applicable Laws”), except where such noncompliance would not, singly or in the aggregate, reasonably be expected to result in a Material Adverse Effect; and (ii) have not received written notice of adverse finding, warning letter, untitled letter or other correspondence or written notice from any court, arbitrator or governmental or regulatory authority alleging or asserting noncompliance with any Applicable Laws or any licenses required by any such Applicable Laws, except where such noncompliance would not, singly or in the aggregate, reasonably be expected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(z)</w:t>
      </w:r>
      <w:r>
        <w:rPr>
          <w:rFonts w:ascii="Times New Roman;Times;serif" w:hAnsi="Times New Roman;Times;serif"/>
          <w:i/>
          <w:sz w:val="24"/>
        </w:rPr>
        <w:t>No Labor Disputes.</w:t>
      </w:r>
      <w:r>
        <w:rPr>
          <w:rFonts w:ascii="Times New Roman;Times;serif" w:hAnsi="Times New Roman;Times;serif"/>
          <w:sz w:val="22"/>
        </w:rPr>
        <w:t xml:space="preserve">  </w:t>
      </w:r>
      <w:r>
        <w:rPr>
          <w:rFonts w:ascii="Times New Roman;Times;serif" w:hAnsi="Times New Roman;Times;serif"/>
          <w:sz w:val="24"/>
        </w:rPr>
        <w:t>No labor disturbance by or dispute with employees of the Company or its subsidiary exists or, to the knowledge of the Company, is contemplated or threatened, and the Company is not aware of any existing or imminent labor disturbance by, or dispute with, the employees of any of its or its subsidiary’s principal suppliers, contractors or customers, except as would not reasonably be expected to result in a Material Adverse Effect.  Neither the Company nor its subsidiary has received any notice of cancellation or termination with respect to any collective bargaining agreement to which it is a party.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(aa)</w:t>
      </w:r>
      <w:r>
        <w:rPr>
          <w:rFonts w:ascii="Times New Roman;Times;serif" w:hAnsi="Times New Roman;Times;serif"/>
          <w:i/>
          <w:sz w:val="24"/>
        </w:rPr>
        <w:t>Certain Environmental Matters</w:t>
      </w:r>
      <w:r>
        <w:rPr>
          <w:rFonts w:ascii="Times New Roman;Times;serif" w:hAnsi="Times New Roman;Times;serif"/>
          <w:sz w:val="24"/>
        </w:rPr>
        <w:t xml:space="preserve">.  (i) The Company and its subsidiary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subsidiary, except in the case of each of (i) and (ii) above, for any such matter as would not, individually or in the aggregate, reasonably be expected to result in a Material Adverse Effect; and (iii) except as described in each of the Pricing Disclosure Package and the Prospectus, (x) there is no proceeding that is pending, or that is known to be contemplated, against the Company or its subsidiary under any Environmental Laws in which a governmental entity is also a party, other than such proceeding regarding which it is reasonably believed no monetary sanctions of $100,000 or more will be imposed, (y) the Company and its subsidiary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subsidiary, and (z) none of the Company or its subsidiary anticipates material capital expenditures relating to any Environmental Laws.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(bb)</w:t>
      </w:r>
      <w:r>
        <w:rPr>
          <w:rFonts w:ascii="Times New Roman;Times;serif" w:hAnsi="Times New Roman;Times;serif"/>
          <w:i/>
          <w:sz w:val="24"/>
        </w:rPr>
        <w:t>Compliance with ERISA</w:t>
      </w:r>
      <w:r>
        <w:rPr>
          <w:rFonts w:ascii="Times New Roman;Times;serif" w:hAnsi="Times New Roman;Times;serif"/>
          <w:sz w:val="24"/>
        </w:rPr>
        <w:t xml:space="preserve">.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subsidiary’s “accumulated post-retirement benefit obligations” (within the meaning of Accounting Standards Codification Topic 715-60) compared to the amount of such obligations in the Company and its subsidiary’s’ most recently completed fiscal year, except in each case with respect to the events or conditions set forth in (i) through (ix) hereof, as would not, individually or in the aggregate, reasonably be expected to result in a Material Adverse Effect.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(cc)</w:t>
      </w:r>
      <w:r>
        <w:rPr>
          <w:rFonts w:ascii="Times New Roman;Times;serif" w:hAnsi="Times New Roman;Times;serif"/>
          <w:i/>
          <w:sz w:val="24"/>
        </w:rPr>
        <w:t>Disclosure Controls</w:t>
      </w:r>
      <w:r>
        <w:rPr>
          <w:rFonts w:ascii="Times New Roman;Times;serif" w:hAnsi="Times New Roman;Times;serif"/>
          <w:sz w:val="24"/>
        </w:rPr>
        <w:t>.  The Company and its subsidiary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(dd)</w:t>
      </w:r>
      <w:r>
        <w:rPr>
          <w:rFonts w:ascii="Times New Roman;Times;serif" w:hAnsi="Times New Roman;Times;serif"/>
          <w:i/>
          <w:sz w:val="24"/>
        </w:rPr>
        <w:t>Accounting Controls.</w:t>
      </w:r>
      <w:r>
        <w:rPr>
          <w:rFonts w:ascii="Times New Roman;Times;serif" w:hAnsi="Times New Roman;Times;serif"/>
          <w:sz w:val="22"/>
        </w:rPr>
        <w:t xml:space="preserve">  </w:t>
      </w:r>
      <w:r>
        <w:rPr>
          <w:rFonts w:ascii="Times New Roman;Times;serif" w:hAnsi="Times New Roman;Times;serif"/>
          <w:sz w:val="24"/>
        </w:rPr>
        <w:t xml:space="preserve">The Company and its subsidiary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subsidiary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(ee)</w:t>
      </w:r>
      <w:r>
        <w:rPr>
          <w:rFonts w:ascii="Times New Roman;Times;serif" w:hAnsi="Times New Roman;Times;serif"/>
          <w:i/>
          <w:sz w:val="24"/>
        </w:rPr>
        <w:t>Insurance.  </w:t>
      </w:r>
      <w:r>
        <w:rPr>
          <w:rFonts w:ascii="Times New Roman;Times;serif" w:hAnsi="Times New Roman;Times;serif"/>
          <w:sz w:val="24"/>
        </w:rPr>
        <w:t>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(ff)</w:t>
      </w:r>
      <w:r>
        <w:rPr>
          <w:rFonts w:ascii="Times New Roman;Times;serif" w:hAnsi="Times New Roman;Times;serif"/>
          <w:i/>
          <w:sz w:val="24"/>
        </w:rPr>
        <w:t>Cybersecurity; Data Protection</w:t>
      </w:r>
      <w:bookmarkStart w:id="37" w:name="_9kMPO5YVt7FC69C"/>
      <w:bookmarkEnd w:id="37"/>
      <w:r>
        <w:rPr>
          <w:rFonts w:ascii="Times New Roman;Times;serif" w:hAnsi="Times New Roman;Times;serif"/>
          <w:i/>
          <w:sz w:val="24"/>
        </w:rPr>
        <w:t>.</w:t>
      </w:r>
      <w:r>
        <w:rPr>
          <w:rFonts w:ascii="Times New Roman;Times;serif" w:hAnsi="Times New Roman;Times;serif"/>
          <w:sz w:val="24"/>
        </w:rPr>
        <w:t xml:space="preserve">  The Company’s and its subsidiary’s information technology assets and equipment, computers, systems, networks, hardware, software, websites, applications, technology, data and databases (collectively, “IT Systems and Data”) are adequate for, and operate and perform in all material respects as required in connection with, the operation of the businesses of the Company and its subsidiary as currently conducted.  The Company and its subsidiary have implemented commercially reasonable controls, policies, procedures and safeguards designed to maintain and protect the confidentiality, integrity and security of their IT Systems and Data.  There has been no material security breach or other material compromise of the IT Systems and Data, and neither the Company nor its subsidiary has been notified of, or has knowledge of any event or condition that would reasonably be expected to result in, any such material security breach or compromise.  Except as would not, individually or in the aggregate, reasonably be expected to result in a Material Adverse Effect, the Company and its subsidiary have complied and are presently in compliance in all material respects with applicable laws, statutes, judgments, orders, rules and regulations of any governmental or regulatory authority and their material contractual obligations relating to the privacy and security of IT Systems and Data and the protection of such IT Systems and Data from unauthorized use, access, misappropriation or modification, in each case to the extent applicable to their businesses.  The Company and its subsidiary have implemented commercially reasonable backup and disaster recovery procedures for their IT Systems and Data.</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(gg)</w:t>
      </w:r>
      <w:r>
        <w:rPr>
          <w:rFonts w:ascii="Times New Roman;Times;serif" w:hAnsi="Times New Roman;Times;serif"/>
          <w:i/>
          <w:sz w:val="24"/>
        </w:rPr>
        <w:t>Clinical Data and Regulatory Compliance</w:t>
      </w:r>
      <w:bookmarkStart w:id="38" w:name="_9kMH0H6ZWu8GD7AD"/>
      <w:bookmarkEnd w:id="38"/>
      <w:r>
        <w:rPr>
          <w:rFonts w:ascii="Times New Roman;Times;serif" w:hAnsi="Times New Roman;Times;serif"/>
          <w:i/>
          <w:sz w:val="24"/>
        </w:rPr>
        <w:t>.</w:t>
      </w:r>
      <w:r>
        <w:rPr>
          <w:rFonts w:ascii="Times New Roman;Times;serif" w:hAnsi="Times New Roman;Times;serif"/>
          <w:sz w:val="24"/>
        </w:rPr>
        <w:t xml:space="preserve"> The preclinical tests, clinical trials and other studies (collectively, “studies”) that are described in, or the results of which are referred to in, the Registration Statement, the Pricing Disclosure Package and the Prospectus and that were conducted by the Company or, to the Company’s knowledge, on its behalf were and, if still pending, are being conducted in all material respects in accordance with the protocols, procedures and controls designed and approved for such studies and with applicable standard medical and scientific research procedures.  Each description of the results of such studies in the Registration Statement, the Pricing Disclosure Package and the Prospectus is accurate and complete in all material respects and fairly presents the data derived from such studies, and neither the Company nor its subsidiary has knowledge of any other studies the results of which are materially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inconsistent with, or otherwise materially call into question, the results so described or referred to.  Neither the Company nor its subsidiary has knowledge of any research misconduct or data fraud in any study or clinical trial the results of which the Company intends to include or reference in any regulatory submission for any product.  The Company has made all material filings and obtained all material approvals required to be made or obtained by it from the Food and Drug Administration of the U.S. Department of Health and Human Services or any other applicable U.S. or foreign drug regulatory agency or institutional review board (collectively, the “Regulatory Agencies”) in connection with such studies, except where the failure to make such filing or obtain such approval would not, individually or in the aggregate, reasonably be expected to result in a Material Adverse Effect.  The Company has not received any notice or correspondence from any Regulatory Agency requiring the termination or suspension of any clinical trial that is described or referred to in the Registration Statement, the Pricing Disclosure Package and the Prospectus, and the Company is in compliance in all material respects with applicable rules, regulations and policies of the Regulatory Agencies.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(hh)</w:t>
      </w:r>
      <w:r>
        <w:rPr>
          <w:rFonts w:ascii="Times New Roman;Times;serif" w:hAnsi="Times New Roman;Times;serif"/>
          <w:i/>
          <w:sz w:val="24"/>
        </w:rPr>
        <w:t>Compliance with Health Care Laws</w:t>
      </w:r>
      <w:r>
        <w:rPr>
          <w:rFonts w:ascii="Times New Roman;Times;serif" w:hAnsi="Times New Roman;Times;serif"/>
          <w:sz w:val="24"/>
        </w:rPr>
        <w:t>.  Except in each case as would not, individually or in the aggregate, have or reasonably be expected to result in a Material Adverse Effect: (i) during the past three years, neither the Company nor its subsidiary has been in violation of any applicable Health Care Laws; (ii), there are no civil, criminal, administrative or regulatory proceedings pending or, to the Company’s knowledge, threatened against the Company, its subsidiary or any of their respective directors, officers or, to the Company’s knowledge, employees that involve allegations of material noncompliance with any Health Care Laws; and (iii) during the past three years, neither the Company nor its subsidiary has received any written adverse notice from any governmental or regulatory authority alleging material noncompliance with any Health Care Laws.  For purposes of this Agreement, “Health Care Laws” means the Federal Food, Drug, and Cosmetic Act, the Public Health Service Act and, in each case, the regulations promulgated thereunder, and all other applicable federal, state, local and foreign health care, fraud and abuse, privacy, security, licensure, quality, safety and accreditation laws and regulations applicable to the businesses of the Company and its subsidiary.  Neither the Company nor its subsidiary is a party to any corporate integrity agreement, monitoring agreement, consent decree, settlement order or similar agreement with or imposed by any governmental or regulatory authority.  Neither the Company, its subsidiary nor any of their respective directors or officers, nor, to the Company’s knowledge, any employee or agent, has been excluded, suspended or debarred from participation in any U.S. federal health care program or human clinical research or is subject to any governmental inquiry, investigation or proceeding, or other similar action  that would reasonably be expected to result in such exclusion, suspension or debarment.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(ii)</w:t>
      </w:r>
      <w:r>
        <w:rPr>
          <w:rFonts w:ascii="Times New Roman;Times;serif" w:hAnsi="Times New Roman;Times;serif"/>
          <w:i/>
          <w:sz w:val="24"/>
        </w:rPr>
        <w:t>No Unlawful Payments.</w:t>
      </w:r>
      <w:r>
        <w:rPr>
          <w:rFonts w:ascii="Times New Roman;Times;serif" w:hAnsi="Times New Roman;Times;serif"/>
          <w:sz w:val="22"/>
        </w:rPr>
        <w:t xml:space="preserve">  </w:t>
      </w:r>
      <w:r>
        <w:rPr>
          <w:rFonts w:ascii="Times New Roman;Times;serif" w:hAnsi="Times New Roman;Times;serif"/>
          <w:sz w:val="24"/>
        </w:rPr>
        <w:t xml:space="preserve">Neither the Company nor its subsidiary, nor any director, officer or employee of the Company or its subsidiary nor, to the knowledge of the Company, any agent,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subsidiary have instituted, maintain and enforce, and will continue to maintain and enforce policies and procedures designed to promote and ensure compliance with all applicable anti-bribery and anti-corruption laws.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(jj)</w:t>
      </w:r>
      <w:r>
        <w:rPr>
          <w:rFonts w:ascii="Times New Roman;Times;serif" w:hAnsi="Times New Roman;Times;serif"/>
          <w:i/>
          <w:sz w:val="24"/>
        </w:rPr>
        <w:t>Compliance with Anti-Money Laundering Laws</w:t>
      </w:r>
      <w:r>
        <w:rPr>
          <w:rFonts w:ascii="Times New Roman;Times;serif" w:hAnsi="Times New Roman;Times;serif"/>
          <w:sz w:val="24"/>
        </w:rPr>
        <w:t>.  The operations of the Company and its subsidiary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its subsidiary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its subsidiary with respect to the Anti-Money Laundering Laws is pending or, to the knowledge of the Company, threatened.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(kk)</w:t>
      </w:r>
      <w:r>
        <w:rPr>
          <w:rFonts w:ascii="Times New Roman;Times;serif" w:hAnsi="Times New Roman;Times;serif"/>
          <w:i/>
          <w:sz w:val="24"/>
        </w:rPr>
        <w:t>No Conflicts with Sanctions Laws.  </w:t>
      </w:r>
      <w:r>
        <w:rPr>
          <w:rFonts w:ascii="Times New Roman;Times;serif" w:hAnsi="Times New Roman;Times;serif"/>
          <w:sz w:val="24"/>
        </w:rPr>
        <w:t>Neither the Company nor its subsidiary, directors, officers, or employees, nor, to the knowledge of the Company, any agent, affiliate or other person associated with or acting on behalf of the Company or its subsidiary is currently the subject or the target of any sanctions administered</w:t>
      </w:r>
      <w:r>
        <w:rPr>
          <w:rFonts w:ascii="Times New Roman;Times;serif" w:hAnsi="Times New Roman;Times;serif"/>
          <w:sz w:val="22"/>
        </w:rPr>
        <w:t xml:space="preserve"> </w:t>
      </w:r>
      <w:r>
        <w:rPr>
          <w:rFonts w:ascii="Times New Roman;Times;serif" w:hAnsi="Times New Roman;Times;serif"/>
          <w:sz w:val="24"/>
        </w:rPr>
        <w:t xml:space="preserve">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or its subsidiary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otherwise) of Sanctions.  For the past five years, the Company and its subsidiary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(ll)</w:t>
      </w:r>
      <w:r>
        <w:rPr>
          <w:rFonts w:ascii="Times New Roman;Times;serif" w:hAnsi="Times New Roman;Times;serif"/>
          <w:i/>
          <w:sz w:val="24"/>
        </w:rPr>
        <w:t>No Restrictions on Subsidiary</w:t>
      </w:r>
      <w:bookmarkStart w:id="39" w:name="_9kMH5M6ZWu8GD7AD"/>
      <w:bookmarkEnd w:id="39"/>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The Company’s subsidiary is not currently prohibited, directly or indirectly, under any agreement or other instrument to which it is a party or is subject, from paying any dividends to the Company, from making any other distribution on the subsidiary’s capital stock or similar ownership interest, from repaying to the Company any loans or advances to the subsidiary from the Company or from transferring any of the subsidiary’s properties or assets to the Company.</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(mm)</w:t>
      </w:r>
      <w:r>
        <w:rPr>
          <w:rFonts w:ascii="Times New Roman;Times;serif" w:hAnsi="Times New Roman;Times;serif"/>
          <w:i/>
          <w:sz w:val="24"/>
        </w:rPr>
        <w:t>No Broker’s Fees.</w:t>
      </w:r>
      <w:r>
        <w:rPr>
          <w:rFonts w:ascii="Times New Roman;Times;serif" w:hAnsi="Times New Roman;Times;serif"/>
          <w:sz w:val="22"/>
        </w:rPr>
        <w:t xml:space="preserve">  </w:t>
      </w:r>
      <w:r>
        <w:rPr>
          <w:rFonts w:ascii="Times New Roman;Times;serif" w:hAnsi="Times New Roman;Times;serif"/>
          <w:sz w:val="24"/>
        </w:rPr>
        <w:t>Neither the Company nor its subsidiary is party to any contract, agreement or understanding with any person (other than this Agreement) that would give rise to a valid claim against any of them or the Underwriters for a brokerage commission, finder’s fee or like payment in connection with the offering and sale of the Shares and the issuance of the Warrants hereunder.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(nn)</w:t>
      </w:r>
      <w:r>
        <w:rPr>
          <w:rFonts w:ascii="Times New Roman;Times;serif" w:hAnsi="Times New Roman;Times;serif"/>
          <w:i/>
          <w:sz w:val="24"/>
        </w:rPr>
        <w:t>No Registration Rights</w:t>
      </w:r>
      <w:r>
        <w:rPr>
          <w:rFonts w:ascii="Times New Roman;Times;serif" w:hAnsi="Times New Roman;Times;serif"/>
          <w:sz w:val="24"/>
        </w:rPr>
        <w:t>.  No person has the right to require the Company or its subsidiary to register any securities for sale under the Securities Act by reason of the filing of the Registration Statement with the Commission or the issuance and sale of the Securities, other than those rights that have been disclosed in the Registration Statement, the Pricing Disclosure Package and the Prospectus and have been waived.</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(oo)</w:t>
      </w:r>
      <w:r>
        <w:rPr>
          <w:rFonts w:ascii="Times New Roman;Times;serif" w:hAnsi="Times New Roman;Times;serif"/>
          <w:i/>
          <w:sz w:val="24"/>
        </w:rPr>
        <w:t>No Stabilization.</w:t>
      </w:r>
      <w:r>
        <w:rPr>
          <w:rFonts w:ascii="Times New Roman;Times;serif" w:hAnsi="Times New Roman;Times;serif"/>
          <w:sz w:val="22"/>
        </w:rPr>
        <w:t xml:space="preserve">  </w:t>
      </w:r>
      <w:r>
        <w:rPr>
          <w:rFonts w:ascii="Times New Roman;Times;serif" w:hAnsi="Times New Roman;Times;serif"/>
          <w:sz w:val="24"/>
        </w:rPr>
        <w:t xml:space="preserve">Neither the Company nor its subsidiary or affiliates has taken, </w:t>
      </w:r>
      <w:r>
        <w:rPr>
          <w:rFonts w:ascii="Times New Roman;Times;serif" w:hAnsi="Times New Roman;Times;serif"/>
          <w:spacing w:val="-3"/>
          <w:sz w:val="24"/>
        </w:rPr>
        <w:t>directly or indirectly, any action designed to or that could reasonably be expected to cause or result in any stabilization or manipulation of the price of the Shares.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(pp)</w:t>
      </w:r>
      <w:r>
        <w:rPr>
          <w:rFonts w:ascii="Times New Roman;Times;serif" w:hAnsi="Times New Roman;Times;serif"/>
          <w:i/>
          <w:sz w:val="24"/>
        </w:rPr>
        <w:t>Margin Rules</w:t>
      </w:r>
      <w:r>
        <w:rPr>
          <w:rFonts w:ascii="Times New Roman;Times;serif" w:hAnsi="Times New Roman;Times;serif"/>
          <w:sz w:val="24"/>
        </w:rPr>
        <w:t>.  Neither the issuance, sale and delivery of the Securities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(qq)</w:t>
      </w:r>
      <w:r>
        <w:rPr>
          <w:rFonts w:ascii="Times New Roman;Times;serif" w:hAnsi="Times New Roman;Times;serif"/>
          <w:i/>
          <w:sz w:val="24"/>
        </w:rPr>
        <w:t>Forward-Looking Statements.</w:t>
      </w:r>
      <w:r>
        <w:rPr>
          <w:rFonts w:ascii="Times New Roman;Times;serif" w:hAnsi="Times New Roman;Times;serif"/>
          <w:sz w:val="22"/>
        </w:rPr>
        <w:t xml:space="preserve">  </w:t>
      </w:r>
      <w:r>
        <w:rPr>
          <w:rFonts w:ascii="Times New Roman;Times;serif" w:hAnsi="Times New Roman;Times;serif"/>
          <w:sz w:val="24"/>
        </w:rPr>
        <w:t>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(rr)</w:t>
      </w:r>
      <w:r>
        <w:rPr>
          <w:rFonts w:ascii="Times New Roman;Times;serif" w:hAnsi="Times New Roman;Times;serif"/>
          <w:i/>
          <w:sz w:val="24"/>
        </w:rPr>
        <w:t>Statistical and Market Data.</w:t>
      </w:r>
      <w:r>
        <w:rPr>
          <w:rFonts w:ascii="Times New Roman;Times;serif" w:hAnsi="Times New Roman;Times;serif"/>
          <w:sz w:val="22"/>
        </w:rPr>
        <w:t xml:space="preserve">  </w:t>
      </w:r>
      <w:r>
        <w:rPr>
          <w:rFonts w:ascii="Times New Roman;Times;serif" w:hAnsi="Times New Roman;Times;serif"/>
          <w:sz w:val="24"/>
        </w:rPr>
        <w:t>Nothing has come to the attention of the Company that has caused the Company to believe that the statistical and market-related data incorporated by reference into the Registration Statement, the Pricing Disclosure Package and the Prospectus is not based on or derived from sources that are reliable and accurate in all material respects.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(ss)</w:t>
      </w:r>
      <w:r>
        <w:rPr>
          <w:rFonts w:ascii="Times New Roman;Times;serif" w:hAnsi="Times New Roman;Times;serif"/>
          <w:i/>
          <w:sz w:val="24"/>
        </w:rPr>
        <w:t>Sarbanes-Oxley Act</w:t>
      </w:r>
      <w:r>
        <w:rPr>
          <w:rFonts w:ascii="Times New Roman;Times;serif" w:hAnsi="Times New Roman;Times;serif"/>
          <w:sz w:val="24"/>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(tt)</w:t>
      </w:r>
      <w:r>
        <w:rPr>
          <w:rFonts w:ascii="Times New Roman;Times;serif" w:hAnsi="Times New Roman;Times;serif"/>
          <w:i/>
          <w:sz w:val="24"/>
        </w:rPr>
        <w:t>Status under the Securities Act</w:t>
      </w:r>
      <w:r>
        <w:rPr>
          <w:rFonts w:ascii="Times New Roman;Times;serif" w:hAnsi="Times New Roman;Times;serif"/>
          <w:sz w:val="24"/>
        </w:rPr>
        <w:t>.  At the time of filing the Registration Statement and any post-effective amendment thereto, at the earliest time thereafter that the Company or any offering participant made a bona fide offer (within the meaning of Rule 164(h)(2) under the Securities Act) of the Securities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or the Additional Closing Date, as the case may be.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(uu)</w:t>
      </w:r>
      <w:r>
        <w:rPr>
          <w:rFonts w:ascii="Times New Roman;Times;serif" w:hAnsi="Times New Roman;Times;serif"/>
          <w:i/>
          <w:sz w:val="24"/>
        </w:rPr>
        <w:t>No Ratings</w:t>
      </w:r>
      <w:r>
        <w:rPr>
          <w:rFonts w:ascii="Times New Roman;Times;serif" w:hAnsi="Times New Roman;Times;serif"/>
          <w:sz w:val="24"/>
        </w:rPr>
        <w:t xml:space="preserve">.  There are (and prior to the Closing Date or the Additional Closing Date, as the case may be, will be) no debt securities, convertible securities or preferred stock issued or guaranteed by the Company or its subsidiary that are rated by a “nationally recognized statistical rating organization,” as such term is defined in Section 3(a)(62) under the Exchange Act. </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4"/>
        </w:rPr>
        <w:t>(vv)</w:t>
      </w:r>
      <w:r>
        <w:rPr>
          <w:rFonts w:ascii="Times New Roman;Times;serif" w:hAnsi="Times New Roman;Times;serif"/>
          <w:i/>
          <w:sz w:val="24"/>
        </w:rPr>
        <w:t>Passive Foreign Investment Company</w:t>
      </w:r>
      <w:r>
        <w:rPr>
          <w:rFonts w:ascii="Times New Roman;Times;serif" w:hAnsi="Times New Roman;Times;serif"/>
          <w:sz w:val="24"/>
        </w:rPr>
        <w:t>.  The Company was not a “passive foreign investment company” (“PFIC”) as defined in Section 1297 of the Code for its most recently completed taxable year and the Company does not expect to be a PFIC for the foreseeable future.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4.</w:t>
      </w:r>
      <w:r>
        <w:rPr>
          <w:rFonts w:ascii="Times New Roman;Times;serif" w:hAnsi="Times New Roman;Times;serif"/>
          <w:sz w:val="24"/>
          <w:u w:val="single"/>
        </w:rPr>
        <w:t>Further Agreements of the Company</w:t>
      </w:r>
      <w:r>
        <w:rPr>
          <w:rFonts w:ascii="Times New Roman;Times;serif" w:hAnsi="Times New Roman;Times;serif"/>
          <w:sz w:val="24"/>
        </w:rPr>
        <w:t>.  The Company covenants and agrees with the Underwriters that: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Required Filings.</w:t>
      </w:r>
      <w:r>
        <w:rPr>
          <w:rFonts w:ascii="Times New Roman;Times;serif" w:hAnsi="Times New Roman;Times;serif"/>
          <w:sz w:val="22"/>
        </w:rPr>
        <w:t xml:space="preserve">  </w:t>
      </w:r>
      <w:r>
        <w:rPr>
          <w:rFonts w:ascii="Times New Roman;Times;serif" w:hAnsi="Times New Roman;Times;serif"/>
          <w:sz w:val="24"/>
        </w:rPr>
        <w:t>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Representative in New York City prior to 10:00 A.M., New York City time, on the business day next succeeding the date of this Agreement in such quantities as the Representative may reasonably request.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Delivery of Copies.</w:t>
      </w:r>
      <w:r>
        <w:rPr>
          <w:rFonts w:ascii="Times New Roman;Times;serif" w:hAnsi="Times New Roman;Times;serif"/>
          <w:sz w:val="22"/>
        </w:rPr>
        <w:t xml:space="preserve">  </w:t>
      </w:r>
      <w:r>
        <w:rPr>
          <w:rFonts w:ascii="Times New Roman;Times;serif" w:hAnsi="Times New Roman;Times;serif"/>
          <w:sz w:val="24"/>
        </w:rPr>
        <w:t>The Company will deliver, without charge, (i) to the Representative, a signed copy of the Registration Statement as originally filed and each amendment thereto, in each case including all exhibits and consents filed therewith; and (ii) to the Representative a conformed copy of the Registration Statement as originally filed and each amendment thereto (without exhibits).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Amendments or Supplements, Issuer Free Writing Prospectuses.</w:t>
      </w:r>
      <w:r>
        <w:rPr>
          <w:rFonts w:ascii="Times New Roman;Times;serif" w:hAnsi="Times New Roman;Times;serif"/>
          <w:sz w:val="22"/>
        </w:rPr>
        <w:t xml:space="preserve">  </w:t>
      </w:r>
      <w:r>
        <w:rPr>
          <w:rFonts w:ascii="Times New Roman;Times;serif" w:hAnsi="Times New Roman;Times;serif"/>
          <w:sz w:val="24"/>
        </w:rPr>
        <w:t xml:space="preserve">Before making, preparing, using, authorizing, approving, referring to or filing any Issuer Free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Writing Prospectus, and before filing any amendment or supplement to the Registration Statement, the Pricing Disclosure Package or the Prospectus, the Company will furnish to the Representative and counsel for the Representative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i/>
          <w:sz w:val="24"/>
        </w:rPr>
        <w:t>Notice to the Representative.</w:t>
      </w:r>
      <w:r>
        <w:rPr>
          <w:rFonts w:ascii="Times New Roman;Times;serif" w:hAnsi="Times New Roman;Times;serif"/>
          <w:sz w:val="22"/>
        </w:rPr>
        <w:t xml:space="preserve">  </w:t>
      </w:r>
      <w:r>
        <w:rPr>
          <w:rFonts w:ascii="Times New Roman;Times;serif" w:hAnsi="Times New Roman;Times;serif"/>
          <w:sz w:val="24"/>
        </w:rPr>
        <w:t>The Company will advise the Representative promptly, and confirm such advice in writing,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occurring at any time prior to the Closing Date or the Additional Closing Date, as the case may be,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(e)</w:t>
      </w:r>
      <w:r>
        <w:rPr>
          <w:rFonts w:ascii="Times New Roman;Times;serif" w:hAnsi="Times New Roman;Times;serif"/>
          <w:i/>
          <w:sz w:val="24"/>
        </w:rPr>
        <w:t>Ongoing Compliance.</w:t>
      </w:r>
      <w:r>
        <w:rPr>
          <w:rFonts w:ascii="Times New Roman;Times;serif" w:hAnsi="Times New Roman;Times;serif"/>
          <w:sz w:val="22"/>
        </w:rPr>
        <w:t xml:space="preserve"> </w:t>
      </w:r>
      <w:r>
        <w:rPr>
          <w:rFonts w:ascii="Times New Roman;Times;serif" w:hAnsi="Times New Roman;Times;serif"/>
          <w:sz w:val="24"/>
        </w:rPr>
        <w:t xml:space="preserve">If at any time prior to the Closing Date or the Additional Closing Date, as the case may be,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(ii) it is necessary to amend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(iii)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(iv)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(f)</w:t>
      </w:r>
      <w:r>
        <w:rPr>
          <w:rFonts w:ascii="Times New Roman;Times;serif" w:hAnsi="Times New Roman;Times;serif"/>
          <w:i/>
          <w:sz w:val="24"/>
        </w:rPr>
        <w:t>Blue Sky Compliance.</w:t>
      </w:r>
      <w:r>
        <w:rPr>
          <w:rFonts w:ascii="Times New Roman;Times;serif" w:hAnsi="Times New Roman;Times;serif"/>
          <w:sz w:val="22"/>
        </w:rPr>
        <w:t xml:space="preserve">  </w:t>
      </w:r>
      <w:r>
        <w:rPr>
          <w:rFonts w:ascii="Times New Roman;Times;serif" w:hAnsi="Times New Roman;Times;serif"/>
          <w:sz w:val="24"/>
        </w:rPr>
        <w:t xml:space="preserve">The Company will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(g)</w:t>
      </w:r>
      <w:r>
        <w:rPr>
          <w:rFonts w:ascii="Times New Roman;Times;serif" w:hAnsi="Times New Roman;Times;serif"/>
          <w:i/>
          <w:sz w:val="24"/>
        </w:rPr>
        <w:t>Earning Statement.  </w:t>
      </w:r>
      <w:r>
        <w:rPr>
          <w:rFonts w:ascii="Times New Roman;Times;serif" w:hAnsi="Times New Roman;Times;serif"/>
          <w:sz w:val="24"/>
        </w:rPr>
        <w:t>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(h)</w:t>
      </w:r>
      <w:r>
        <w:rPr>
          <w:rFonts w:ascii="Times New Roman;Times;serif" w:hAnsi="Times New Roman;Times;serif"/>
          <w:i/>
          <w:sz w:val="24"/>
        </w:rPr>
        <w:t>Clear Market.</w:t>
      </w:r>
      <w:r>
        <w:rPr>
          <w:rFonts w:ascii="Times New Roman;Times;serif" w:hAnsi="Times New Roman;Times;serif"/>
          <w:sz w:val="22"/>
        </w:rPr>
        <w:t xml:space="preserve">  </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 xml:space="preserve">(i)For a period of 90 days after the date of the Prospectus, the Company will not (A)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to undertake any of the foregoing, or (B) enter into any swap or other agreement that transfers, in whole or in part, any of the economic consequences of ownership of the Stock or any such other securities, whether any such transaction described in clause (A) or (B) above is to be settled by delivery of Common Stock or such other securities, in cash or otherwise, without the prior written consent of the Representative, other than the Securities to be sold hereunder. </w:t>
      </w:r>
    </w:p>
    <w:p>
      <w:pPr>
        <w:pStyle w:val="TextBody"/>
        <w:bidi w:val="0"/>
        <w:spacing w:before="0" w:after="240"/>
        <w:ind w:left="0" w:right="432" w:hanging="0"/>
        <w:jc w:val="both"/>
        <w:rPr>
          <w:rFonts w:ascii="Times New Roman;Times;serif" w:hAnsi="Times New Roman;Times;serif"/>
          <w:sz w:val="22"/>
        </w:rPr>
      </w:pPr>
      <w:r>
        <w:rPr>
          <w:rFonts w:ascii="Times New Roman;Times;serif" w:hAnsi="Times New Roman;Times;serif"/>
          <w:sz w:val="24"/>
        </w:rPr>
        <w:t>(ii)The restrictions described in Section 4(h)(i) above shall not apply to: (A) the issuance of shares of Common Stock or securities convertible into or exercisable for shares of Common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(B)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Date and described in the Prospectus,  </w:t>
      </w:r>
      <w:r>
        <w:rPr>
          <w:rFonts w:ascii="Times New Roman;Times;serif" w:hAnsi="Times New Roman;Times;serif"/>
          <w:i/>
          <w:sz w:val="24"/>
        </w:rPr>
        <w:t>provided</w:t>
      </w:r>
      <w:r>
        <w:rPr>
          <w:rFonts w:ascii="Times New Roman;Times;serif" w:hAnsi="Times New Roman;Times;serif"/>
          <w:sz w:val="22"/>
        </w:rPr>
        <w:t xml:space="preserve"> </w:t>
      </w:r>
      <w:r>
        <w:rPr>
          <w:rFonts w:ascii="Times New Roman;Times;serif" w:hAnsi="Times New Roman;Times;serif"/>
          <w:sz w:val="24"/>
        </w:rPr>
        <w:t>that, to the extent the recipient of any such securities (i) is not otherwise subject to a Lock-Up Agreement and (ii) is an officer (as defined in Rule 16a-1(f) of the Exchange Act) or director of the Company, such recipient shall deliver a Lock-Up Agreement to the Representative; (C)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(D) the issuance of shares of Common Stock, or securities convertible into, exercisable for or exchangeable for Common Stock, in connection with acquisitions, strategic transactions or bona fide commercial relationships with unaffiliated third parties (including joint ventures, marketing or distribution arrangements, collaboration agreements, intellectual property license agreements or lending arrangements), provided that the recipient agrees in writing to be bound by the restrictions in this Section 4(h) for the remainder of the period specified in Section 4(h)(i) and the aggregate number of shares of Common Stock issued or issuable pursuant to this clause (D) does not exceed 10% of the number of shares of Common Stock outstanding immediately following the Closing Date; (E)</w:t>
      </w:r>
      <w:r>
        <w:rPr>
          <w:rFonts w:ascii="Times New Roman;Times;serif" w:hAnsi="Times New Roman;Times;serif"/>
          <w:sz w:val="22"/>
        </w:rPr>
        <w:t xml:space="preserve"> </w:t>
      </w:r>
      <w:r>
        <w:rPr>
          <w:rFonts w:ascii="Times New Roman;Times;serif" w:hAnsi="Times New Roman;Times;serif"/>
          <w:sz w:val="24"/>
        </w:rPr>
        <w:t xml:space="preserve">the issuance and sale of shares of Common Stock pursuant to the Sales Agreement, dated August 14, 2024, by and between the Company and Leerink Partners LLC (the "Sales Agreement"), provided that the Company may only issue and sell shares of Common Stock pursuant to the Sales Agreement during the period specified in Section 4(h)(i) if the closing price of the Common Stock on the NYSE American equals or exceeds 160% of the Public Offering Price per Share and Common Warrants set forth in Annex A hereto, or (F) the issuance and sale of shares of Common Stock and/or securities convertible into or exercisable for shares of Common Stock, to the extent the Company determines in good faith that such issuance is reasonably necessary to regain or maintain compliance with the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continued listing standards of the NYSE American, in the event the Company is not in compliance with such continued listing standards as of August 3, 2026, or receives notice from the NYSE American of any such non-compliance at any time following such date.  Any issuance or filing pursuant to the foregoing clauses (A)-(F) is an “Exempt Issuance.”</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 xml:space="preserve">(iii)From the date hereof until the earlier of (A) 180 days after the date hereof and (B) the date on which none of the Common Warrants are outstanding (the “Restricted Period”), the Company shall be prohibited from effecting or entering into an agreement to effect any issuance by the Company or any of its subsidiaries of Common Stock or Common Stock Equivalents (or a combination of units thereof) involving a Variable Rate Transaction, without the prior written consent of the Representative.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exchange rate or other price that is based upon 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securities or upon the occurrence of specified or contingent events directly or indirectly related to the business of the Company or the market for the Common Stock, or (ii) enters into or effects a transaction under an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“Common Stock Equivalents” means any securities of the Company or its subsidiaries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For the avoidance of doubt, a security subject only to customary anti-dilution protections, including adjustments for stock splits, reverse stock splits and similar recapitalization or reclassification events, shall not be deemed a Variable Rate Transaction.  For the further avoidance of doubt, a “Variable Rate Transaction” shall not include (x) the issuance or sale  of Common Stock pursuant to the Sales Agreement to the extent permitted by Section 4(h)(ii)(E), (y) the issuance or sale of revenue bonds or other straight debt instruments with no equity or equity-linked components, or (z) the entry into traditional term loans or credit facilities that do not include equity or equity-linked conversion features. </w:t>
      </w:r>
    </w:p>
    <w:p>
      <w:pPr>
        <w:pStyle w:val="TextBody"/>
        <w:bidi w:val="0"/>
        <w:spacing w:before="0" w:after="240"/>
        <w:ind w:left="0" w:right="432" w:hanging="0"/>
        <w:jc w:val="both"/>
        <w:rPr>
          <w:rFonts w:ascii="Times New Roman;Times;serif" w:hAnsi="Times New Roman;Times;serif"/>
          <w:sz w:val="24"/>
        </w:rPr>
      </w:pPr>
      <w:r>
        <w:rPr>
          <w:rFonts w:ascii="Times New Roman;Times;serif" w:hAnsi="Times New Roman;Times;serif"/>
          <w:sz w:val="24"/>
        </w:rPr>
        <w:t xml:space="preserve">(iv)If the Representative, in its sole discretion, agrees to release or waive the restrictions set forth in a lock-up letter described in Section 6(l) hereof for an officer or director of the Company and provide the Company with notice of the impending release or waiver substantially in the form of Exhibit B hereto at least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(i)</w:t>
      </w:r>
      <w:r>
        <w:rPr>
          <w:rFonts w:ascii="Times New Roman;Times;serif" w:hAnsi="Times New Roman;Times;serif"/>
          <w:i/>
          <w:sz w:val="24"/>
        </w:rPr>
        <w:t>Use of Proceeds.</w:t>
      </w:r>
      <w:r>
        <w:rPr>
          <w:rFonts w:ascii="Times New Roman;Times;serif" w:hAnsi="Times New Roman;Times;serif"/>
          <w:sz w:val="22"/>
        </w:rPr>
        <w:t xml:space="preserve">  </w:t>
      </w:r>
      <w:r>
        <w:rPr>
          <w:rFonts w:ascii="Times New Roman;Times;serif" w:hAnsi="Times New Roman;Times;serif"/>
          <w:sz w:val="24"/>
        </w:rPr>
        <w:t>The Company will apply the net proceeds from the sale of the Securities as described in each of the Registration Statement, the Pricing Disclosure Package and the Prospectus under the heading “Use of Proceeds.”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(j)</w:t>
      </w:r>
      <w:r>
        <w:rPr>
          <w:rFonts w:ascii="Times New Roman;Times;serif" w:hAnsi="Times New Roman;Times;serif"/>
          <w:i/>
          <w:sz w:val="24"/>
        </w:rPr>
        <w:t>No Stabilization.</w:t>
      </w:r>
      <w:r>
        <w:rPr>
          <w:rFonts w:ascii="Times New Roman;Times;serif" w:hAnsi="Times New Roman;Times;serif"/>
          <w:sz w:val="22"/>
        </w:rPr>
        <w:t xml:space="preserve">  </w:t>
      </w:r>
      <w:r>
        <w:rPr>
          <w:rFonts w:ascii="Times New Roman;Times;serif" w:hAnsi="Times New Roman;Times;serif"/>
          <w:sz w:val="24"/>
        </w:rPr>
        <w:t xml:space="preserve">Neither the Company nor its subsidiary or affiliates will take, </w:t>
      </w:r>
      <w:r>
        <w:rPr>
          <w:rFonts w:ascii="Times New Roman;Times;serif" w:hAnsi="Times New Roman;Times;serif"/>
          <w:spacing w:val="-3"/>
          <w:sz w:val="24"/>
        </w:rPr>
        <w:t xml:space="preserve">directly or indirectly, any action designed to or that could reasonably be expected to cause or result in any stabilization or manipulation of the price of the </w:t>
      </w:r>
      <w:r>
        <w:rPr>
          <w:rFonts w:ascii="Times New Roman;Times;serif" w:hAnsi="Times New Roman;Times;serif"/>
          <w:sz w:val="24"/>
        </w:rPr>
        <w:t>Common Stock</w:t>
      </w:r>
      <w:r>
        <w:rPr>
          <w:rFonts w:ascii="Times New Roman;Times;serif" w:hAnsi="Times New Roman;Times;serif"/>
          <w:spacing w:val="-3"/>
          <w:sz w:val="24"/>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4"/>
        </w:rPr>
        <w:t>(k)</w:t>
      </w:r>
      <w:r>
        <w:rPr>
          <w:rFonts w:ascii="Times New Roman;Times;serif" w:hAnsi="Times New Roman;Times;serif"/>
          <w:i/>
          <w:sz w:val="24"/>
        </w:rPr>
        <w:t>Exchange Listing.</w:t>
      </w:r>
      <w:r>
        <w:rPr>
          <w:rFonts w:ascii="Times New Roman;Times;serif" w:hAnsi="Times New Roman;Times;serif"/>
          <w:sz w:val="22"/>
        </w:rPr>
        <w:t xml:space="preserve"> </w:t>
      </w:r>
      <w:r>
        <w:rPr>
          <w:rFonts w:ascii="Times New Roman;Times;serif" w:hAnsi="Times New Roman;Times;serif"/>
          <w:sz w:val="24"/>
        </w:rPr>
        <w:t>The Company will use its reasonable best efforts to maintain the listing of the Common Stock on the NYSE American.</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(l)</w:t>
      </w:r>
      <w:r>
        <w:rPr>
          <w:rFonts w:ascii="Times New Roman;Times;serif" w:hAnsi="Times New Roman;Times;serif"/>
          <w:i/>
          <w:sz w:val="24"/>
        </w:rPr>
        <w:t>Reports.</w:t>
      </w:r>
      <w:r>
        <w:rPr>
          <w:rFonts w:ascii="Times New Roman;Times;serif" w:hAnsi="Times New Roman;Times;serif"/>
          <w:sz w:val="22"/>
        </w:rPr>
        <w:t xml:space="preserve">  </w:t>
      </w:r>
      <w:r>
        <w:rPr>
          <w:rFonts w:ascii="Times New Roman;Times;serif" w:hAnsi="Times New Roman;Times;serif"/>
          <w:sz w:val="24"/>
        </w:rPr>
        <w:t xml:space="preserve">So long as the Securities are outstanding, the Company will furnish to the Underwriters, as soon as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Company will be deemed to have furnished such reports and financial statements to the Underwriters to the extent they are filed on the Commission’s Electronic Data Gathering, Analysis, and Retrieval system.</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(m)</w:t>
      </w:r>
      <w:r>
        <w:rPr>
          <w:rFonts w:ascii="Times New Roman;Times;serif" w:hAnsi="Times New Roman;Times;serif"/>
          <w:i/>
          <w:sz w:val="24"/>
        </w:rPr>
        <w:t>Record Retention</w:t>
      </w:r>
      <w:r>
        <w:rPr>
          <w:rFonts w:ascii="Times New Roman;Times;serif" w:hAnsi="Times New Roman;Times;serif"/>
          <w:sz w:val="24"/>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(n)</w:t>
      </w:r>
      <w:r>
        <w:rPr>
          <w:rFonts w:ascii="Times New Roman;Times;serif" w:hAnsi="Times New Roman;Times;serif"/>
          <w:i/>
          <w:sz w:val="24"/>
        </w:rPr>
        <w:t>Filings.</w:t>
      </w:r>
      <w:r>
        <w:rPr>
          <w:rFonts w:ascii="Times New Roman;Times;serif" w:hAnsi="Times New Roman;Times;serif"/>
          <w:sz w:val="22"/>
        </w:rPr>
        <w:t xml:space="preserve">  </w:t>
      </w:r>
      <w:r>
        <w:rPr>
          <w:rFonts w:ascii="Times New Roman;Times;serif" w:hAnsi="Times New Roman;Times;serif"/>
          <w:sz w:val="24"/>
        </w:rPr>
        <w:t xml:space="preserve">The Company will file with the Commission such reports as may be required by Rule 463 under the Securities Act.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5.</w:t>
      </w:r>
      <w:r>
        <w:rPr>
          <w:rFonts w:ascii="Times New Roman;Times;serif" w:hAnsi="Times New Roman;Times;serif"/>
          <w:sz w:val="24"/>
          <w:u w:val="single"/>
        </w:rPr>
        <w:t>Certain Agreements of the Underwriter</w:t>
      </w:r>
      <w:bookmarkStart w:id="40" w:name="_9kMH6N6ZWu8GD7AD"/>
      <w:bookmarkEnd w:id="40"/>
      <w:r>
        <w:rPr>
          <w:rFonts w:ascii="Times New Roman;Times;serif" w:hAnsi="Times New Roman;Times;serif"/>
          <w:sz w:val="24"/>
          <w:u w:val="single"/>
        </w:rPr>
        <w:t>s</w:t>
      </w:r>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Each Underwriter hereby represents and agrees that: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the Underwriters and approved by the Company in advance in writing (each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such free writing prospectus referred to in clauses (i) or (iii), an “Underwriter Free Writing Prospectus”).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 xml:space="preserve">(b)It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 xml:space="preserve">that the Underwriters may use a term sheet substantially in the form of Annex C hereto without the consent of the Company; and </w:t>
      </w:r>
      <w:r>
        <w:rPr>
          <w:rFonts w:ascii="Times New Roman;Times;serif" w:hAnsi="Times New Roman;Times;serif"/>
          <w:sz w:val="24"/>
          <w:u w:val="single"/>
        </w:rPr>
        <w:t>provided further</w:t>
      </w:r>
      <w:r>
        <w:rPr>
          <w:rFonts w:ascii="Times New Roman;Times;serif" w:hAnsi="Times New Roman;Times;serif"/>
          <w:sz w:val="22"/>
        </w:rPr>
        <w:t xml:space="preserve"> </w:t>
      </w:r>
      <w:r>
        <w:rPr>
          <w:rFonts w:ascii="Times New Roman;Times;serif" w:hAnsi="Times New Roman;Times;serif"/>
          <w:sz w:val="24"/>
        </w:rPr>
        <w:t>that the Underwriters using such term sheet shall notify the Company, and provide a copy of such term sheet to the Company, prior to, or substantially concurrently with, the first use of such term sheet.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(c)It is not subject to any pending proceeding under Section 8A of the Securities Act with respect to the offering (and will promptly notify the Company if any such proceeding against it that is initiated at any time prior to the Closing Date or the Additional Closing Date, as the case may be).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6.</w:t>
      </w:r>
      <w:r>
        <w:rPr>
          <w:rFonts w:ascii="Times New Roman;Times;serif" w:hAnsi="Times New Roman;Times;serif"/>
          <w:sz w:val="24"/>
          <w:u w:val="single"/>
        </w:rPr>
        <w:t>Conditions of Underwriters’ Obligations</w:t>
      </w:r>
      <w:r>
        <w:rPr>
          <w:rFonts w:ascii="Times New Roman;Times;serif" w:hAnsi="Times New Roman;Times;serif"/>
          <w:sz w:val="24"/>
        </w:rPr>
        <w:t>.  The obligation of the Underwriters to purchase the Firm Securities on the Closing Date, or the Option Securities on the Additional Closing Date, as the case may be, as provided herein is subject to the performance by the Company of its covenants and other obligations hereunder and to the following additional conditions: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Registration Compliance; No Stop Order.</w:t>
      </w:r>
      <w:r>
        <w:rPr>
          <w:rFonts w:ascii="Times New Roman;Times;serif" w:hAnsi="Times New Roman;Times;serif"/>
          <w:sz w:val="22"/>
        </w:rPr>
        <w:t xml:space="preserve">  </w:t>
      </w:r>
      <w:r>
        <w:rPr>
          <w:rFonts w:ascii="Times New Roman;Times;serif" w:hAnsi="Times New Roman;Times;serif"/>
          <w:sz w:val="24"/>
        </w:rPr>
        <w:t>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Representations and Warranties.</w:t>
      </w:r>
      <w:r>
        <w:rPr>
          <w:rFonts w:ascii="Times New Roman;Times;serif" w:hAnsi="Times New Roman;Times;serif"/>
          <w:sz w:val="22"/>
        </w:rPr>
        <w:t xml:space="preserve">  </w:t>
      </w:r>
      <w:r>
        <w:rPr>
          <w:rFonts w:ascii="Times New Roman;Times;serif" w:hAnsi="Times New Roman;Times;serif"/>
          <w:sz w:val="24"/>
        </w:rPr>
        <w:t>The representations and warranties of the Company contained herein shall be true and correct in all material respects on the date hereof and on and as of the Closing Date and each applicable Additional Closing Date; provided that (i) any representation or warranty already qualified by materiality or Material Adverse Effect shall be true and correct in all respects as so qualified, (ii) to the extent that any such representation or warranty expressly relates to an earlier date, such representation or warranty shall be true and correct, subject to the foregoing materiality qualifications, as of such earlier date, and (iii) changes contemplated or permitted by this Agreement, the Registration Statement, the Pricing Disclosure Package or the Prospectus shall not constitute a breach of any such representation or warranty.  The statements of the Company and its officers made in any certificates delivered pursuant to this Agreement shall be true and correct in all material respects on and as of the Closing Date and each applicable Additional Closing Date, subject to the same qualification.</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No Material Adverse Change.</w:t>
      </w:r>
      <w:r>
        <w:rPr>
          <w:rFonts w:ascii="Times New Roman;Times;serif" w:hAnsi="Times New Roman;Times;serif"/>
          <w:sz w:val="22"/>
        </w:rPr>
        <w:t xml:space="preserve">  </w:t>
      </w:r>
      <w:r>
        <w:rPr>
          <w:rFonts w:ascii="Times New Roman;Times;serif" w:hAnsi="Times New Roman;Times;serif"/>
          <w:sz w:val="24"/>
        </w:rPr>
        <w:t>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Firm Securities on the Closing Date or the Option Securities on the Applicable Closing Date, as the case may be, on the terms and in the manner contemplated by this Agreement, the Pricing Disclosure Package and the Prospectus.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i/>
          <w:sz w:val="24"/>
        </w:rPr>
        <w:t>Officers</w:t>
      </w:r>
      <w:r>
        <w:rPr>
          <w:rFonts w:ascii="Times New Roman;Times;serif" w:hAnsi="Times New Roman;Times;serif"/>
          <w:sz w:val="22"/>
        </w:rPr>
        <w:t xml:space="preserve">’ </w:t>
      </w:r>
      <w:r>
        <w:rPr>
          <w:rFonts w:ascii="Times New Roman;Times;serif" w:hAnsi="Times New Roman;Times;serif"/>
          <w:i/>
          <w:sz w:val="24"/>
        </w:rPr>
        <w:t>Certificate.</w:t>
      </w:r>
      <w:r>
        <w:rPr>
          <w:rFonts w:ascii="Times New Roman;Times;serif" w:hAnsi="Times New Roman;Times;serif"/>
          <w:sz w:val="22"/>
        </w:rPr>
        <w:t xml:space="preserve">  </w:t>
      </w:r>
      <w:r>
        <w:rPr>
          <w:rFonts w:ascii="Times New Roman;Times;serif" w:hAnsi="Times New Roman;Times;serif"/>
          <w:sz w:val="24"/>
        </w:rPr>
        <w:t>The Representative shall have received on and as of the Closing Date and each Additional Closing Date a certificate of the Chief Executive Officer or President and the Chief Financial Officer of the Company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in all material respects (provided that any representation or warranty already qualified by materiality or Material Adverse Effect shall be true and correct in all respects as so qualified) and that the Company has complied in all material respects with all agreements and satisfied all conditions on its part to be performed or satisfied hereunder at or prior to the Closing Date and each Additional Closing Date, and (iii) to the effect set forth in paragraphs (a), (b) and (c) above.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(e)</w:t>
      </w:r>
      <w:r>
        <w:rPr>
          <w:rFonts w:ascii="Times New Roman;Times;serif" w:hAnsi="Times New Roman;Times;serif"/>
          <w:i/>
          <w:sz w:val="24"/>
        </w:rPr>
        <w:t>Comfort Letters</w:t>
      </w:r>
      <w:bookmarkStart w:id="41" w:name="_9kMH7O6ZWu8GD7AD"/>
      <w:bookmarkEnd w:id="41"/>
      <w:r>
        <w:rPr>
          <w:rFonts w:ascii="Times New Roman;Times;serif" w:hAnsi="Times New Roman;Times;serif"/>
          <w:i/>
          <w:sz w:val="24"/>
        </w:rPr>
        <w:t>.</w:t>
      </w:r>
      <w:r>
        <w:rPr>
          <w:rFonts w:ascii="Times New Roman;Times;serif" w:hAnsi="Times New Roman;Times;serif"/>
          <w:sz w:val="22"/>
        </w:rPr>
        <w:t xml:space="preserve"> </w:t>
      </w:r>
      <w:r>
        <w:rPr>
          <w:rFonts w:ascii="Times New Roman;Times;serif" w:hAnsi="Times New Roman;Times;serif"/>
          <w:sz w:val="24"/>
        </w:rPr>
        <w:t xml:space="preserve">On the date of this Agreement and on the Closing Date and each Applicable Closing Date, the Accountant shall have furnished to the Representative, at the request of the Company, letters, dated the respective dates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Times New Roman;Times;serif" w:hAnsi="Times New Roman;Times;serif"/>
          <w:sz w:val="24"/>
          <w:u w:val="single"/>
        </w:rPr>
        <w:t>provided</w:t>
      </w:r>
      <w:r>
        <w:rPr>
          <w:rFonts w:ascii="Times New Roman;Times;serif" w:hAnsi="Times New Roman;Times;serif"/>
          <w:sz w:val="22"/>
        </w:rPr>
        <w:t xml:space="preserve"> </w:t>
      </w:r>
      <w:r>
        <w:rPr>
          <w:rFonts w:ascii="Times New Roman;Times;serif" w:hAnsi="Times New Roman;Times;serif"/>
          <w:sz w:val="24"/>
        </w:rPr>
        <w:t>that the letter delivered on the Closing Date and each Additional Closing Date shall use a “cut-off” date no more than two business days prior to such Closing Date and each Additional Closing Date.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(f)</w:t>
      </w:r>
      <w:r>
        <w:rPr>
          <w:rFonts w:ascii="Times New Roman;Times;serif" w:hAnsi="Times New Roman;Times;serif"/>
          <w:i/>
          <w:sz w:val="24"/>
        </w:rPr>
        <w:t>Opinion and Negative Assurance Letter of Counsel for the Company.</w:t>
      </w:r>
      <w:r>
        <w:rPr>
          <w:rFonts w:ascii="Times New Roman;Times;serif" w:hAnsi="Times New Roman;Times;serif"/>
          <w:sz w:val="22"/>
        </w:rPr>
        <w:t xml:space="preserve">  </w:t>
      </w:r>
      <w:r>
        <w:rPr>
          <w:rFonts w:ascii="Times New Roman;Times;serif" w:hAnsi="Times New Roman;Times;serif"/>
          <w:sz w:val="24"/>
        </w:rPr>
        <w:t>Sullivan &amp; Worcester LLP, counsel for the Company, shall have furnished to the Representative, at the request of the Company, its written opinion and 10b-5 statement, dated the Closing Date and each Additional Closing Date and addressed to the Representative, in form and substance reasonably satisfactory to the Representative.</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(g)</w:t>
      </w:r>
      <w:r>
        <w:rPr>
          <w:rFonts w:ascii="Times New Roman;Times;serif" w:hAnsi="Times New Roman;Times;serif"/>
          <w:i/>
          <w:sz w:val="24"/>
        </w:rPr>
        <w:t>Opinion of Intellectual Property Counsel for the Company</w:t>
      </w:r>
      <w:bookmarkStart w:id="42" w:name="_9kMH8P6ZWu8GD7AD"/>
      <w:bookmarkEnd w:id="42"/>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 xml:space="preserve">K&amp;L Gates LLP, intellectual property counsel for the Company, shall have furnished to the Representative, at the request of the Company, its written opinion, dated the Closing date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or the Additional Closing Date, as the case may be, and addressed to the Representative, in form and substance reasonably satisfactory to the Representative.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(h)</w:t>
      </w:r>
      <w:r>
        <w:rPr>
          <w:rFonts w:ascii="Times New Roman;Times;serif" w:hAnsi="Times New Roman;Times;serif"/>
          <w:i/>
          <w:sz w:val="24"/>
        </w:rPr>
        <w:t>Opinion and Negative Assurance Statement of Counsel for the Underwriters.</w:t>
      </w:r>
      <w:r>
        <w:rPr>
          <w:rFonts w:ascii="Times New Roman;Times;serif" w:hAnsi="Times New Roman;Times;serif"/>
          <w:sz w:val="22"/>
        </w:rPr>
        <w:t xml:space="preserve">  </w:t>
      </w:r>
      <w:r>
        <w:rPr>
          <w:rFonts w:ascii="Times New Roman;Times;serif" w:hAnsi="Times New Roman;Times;serif"/>
          <w:sz w:val="24"/>
        </w:rPr>
        <w:t>The Representative shall have received on and as of the Closing Date an opinion that includes a negative assurance statement, addressed to the Representative, of Faegre Drinker Biddle &amp; Reath LLP, counsel for the Underwriters, with respect to such matters as the Representative may reasonably request, and such counsel shall have received such documents and information as they may reasonably request to enable them to pass upon such matters.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(i)</w:t>
      </w:r>
      <w:r>
        <w:rPr>
          <w:rFonts w:ascii="Times New Roman;Times;serif" w:hAnsi="Times New Roman;Times;serif"/>
          <w:i/>
          <w:sz w:val="24"/>
        </w:rPr>
        <w:t>No Legal Impediment to Issuance and Sale.</w:t>
      </w:r>
      <w:r>
        <w:rPr>
          <w:rFonts w:ascii="Times New Roman;Times;serif" w:hAnsi="Times New Roman;Times;serif"/>
          <w:sz w:val="22"/>
        </w:rPr>
        <w:t xml:space="preserve">  </w:t>
      </w:r>
      <w:r>
        <w:rPr>
          <w:rFonts w:ascii="Times New Roman;Times;serif" w:hAnsi="Times New Roman;Times;serif"/>
          <w:sz w:val="24"/>
        </w:rPr>
        <w:t>No action shall have been taken and no statute, rule, regulation or order shall have been enacted, adopted or issued by any federal, state or foreign governmental or regulatory authority that would, as of the Closing Date or each Additional Closing Date, prevent the issuance or sale of the Securities; and no injunction or order of any federal, state or foreign court shall have been issued that would, as of the Closing Date or the Additional Closing Date, as the case may be, prevent the issuance or sale of the Securities.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(j)</w:t>
      </w:r>
      <w:r>
        <w:rPr>
          <w:rFonts w:ascii="Times New Roman;Times;serif" w:hAnsi="Times New Roman;Times;serif"/>
          <w:i/>
          <w:sz w:val="24"/>
        </w:rPr>
        <w:t>Good Standing</w:t>
      </w:r>
      <w:r>
        <w:rPr>
          <w:rFonts w:ascii="Times New Roman;Times;serif" w:hAnsi="Times New Roman;Times;serif"/>
          <w:sz w:val="24"/>
        </w:rPr>
        <w:t>.  The Representative shall have received on and as of the Closing Date and each Additional Closing Date satisfactory evidence of the good standing of the Company and its subsidiary in their respective jurisdictions of organization, in each case in writing or any standard form of telecommunication from the appropriate governmental authorities of such jurisdictions.</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(k)</w:t>
      </w:r>
      <w:r>
        <w:rPr>
          <w:rFonts w:ascii="Times New Roman;Times;serif" w:hAnsi="Times New Roman;Times;serif"/>
          <w:i/>
          <w:sz w:val="24"/>
        </w:rPr>
        <w:t>Exchange Listing.</w:t>
      </w:r>
      <w:r>
        <w:rPr>
          <w:rFonts w:ascii="Times New Roman;Times;serif" w:hAnsi="Times New Roman;Times;serif"/>
          <w:sz w:val="22"/>
        </w:rPr>
        <w:t xml:space="preserve">  </w:t>
      </w:r>
      <w:r>
        <w:rPr>
          <w:rFonts w:ascii="Times New Roman;Times;serif" w:hAnsi="Times New Roman;Times;serif"/>
          <w:sz w:val="24"/>
        </w:rPr>
        <w:t>The Company shall have filed with the NYSE American a supplemental listing application (“SLA”) with respect to the Shares and the Warrant Shares and has not received any notice of objection from NYSE American regarding the SLA.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4"/>
        </w:rPr>
        <w:t>(l)</w:t>
      </w:r>
      <w:r>
        <w:rPr>
          <w:rFonts w:ascii="Times New Roman;Times;serif" w:hAnsi="Times New Roman;Times;serif"/>
          <w:i/>
          <w:sz w:val="24"/>
        </w:rPr>
        <w:t>Lock-up Agreements</w:t>
      </w:r>
      <w:r>
        <w:rPr>
          <w:rFonts w:ascii="Times New Roman;Times;serif" w:hAnsi="Times New Roman;Times;serif"/>
          <w:sz w:val="24"/>
        </w:rPr>
        <w:t>.  The “lock-up” agreements, each substantially in the form of Exhibit G hereto (a “Lock-Up Agreement”), executed by the executive officers and directors of the Company relating to sales and certain other dispositions of shares of Common Stock or certain other securities, delivered to the Representative on or before the date hereof, shall be in full force and effect on the Closing Date or the Additional Closing Date, as the case may be.</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4"/>
        </w:rPr>
        <w:t>(m)</w:t>
      </w:r>
      <w:r>
        <w:rPr>
          <w:rFonts w:ascii="Times New Roman;Times;serif" w:hAnsi="Times New Roman;Times;serif"/>
          <w:i/>
          <w:sz w:val="24"/>
        </w:rPr>
        <w:t>Additional Documents.</w:t>
      </w:r>
      <w:r>
        <w:rPr>
          <w:rFonts w:ascii="Times New Roman;Times;serif" w:hAnsi="Times New Roman;Times;serif"/>
          <w:sz w:val="22"/>
        </w:rPr>
        <w:t xml:space="preserve">  </w:t>
      </w:r>
      <w:r>
        <w:rPr>
          <w:rFonts w:ascii="Times New Roman;Times;serif" w:hAnsi="Times New Roman;Times;serif"/>
          <w:sz w:val="24"/>
        </w:rPr>
        <w:t>On or prior to the Closing Date or the Additional Closing Date, as the case may be, the Company shall have furnished to the Representative such further certificates and documents as the Representative may reasonably request.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7.</w:t>
      </w:r>
      <w:r>
        <w:rPr>
          <w:rFonts w:ascii="Times New Roman;Times;serif" w:hAnsi="Times New Roman;Times;serif"/>
          <w:sz w:val="24"/>
          <w:u w:val="single"/>
        </w:rPr>
        <w:t>Indemnification and Contribution</w:t>
      </w:r>
      <w:r>
        <w:rPr>
          <w:rFonts w:ascii="Times New Roman;Times;serif" w:hAnsi="Times New Roman;Times;serif"/>
          <w:sz w:val="24"/>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Indemnification of the Underwriters.</w:t>
      </w:r>
      <w:r>
        <w:rPr>
          <w:rFonts w:ascii="Times New Roman;Times;serif" w:hAnsi="Times New Roman;Times;serif"/>
          <w:sz w:val="22"/>
        </w:rPr>
        <w:t xml:space="preserve">  </w:t>
      </w:r>
      <w:r>
        <w:rPr>
          <w:rFonts w:ascii="Times New Roman;Times;serif" w:hAnsi="Times New Roman;Times;serif"/>
          <w:sz w:val="24"/>
        </w:rPr>
        <w:t xml:space="preserve">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the Underwriter consists of the information described as such in paragraph (b) below.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Indemnification of the Company.</w:t>
      </w:r>
      <w:r>
        <w:rPr>
          <w:rFonts w:ascii="Times New Roman;Times;serif" w:hAnsi="Times New Roman;Times;serif"/>
          <w:sz w:val="22"/>
        </w:rPr>
        <w:t xml:space="preserve">  </w:t>
      </w:r>
      <w:r>
        <w:rPr>
          <w:rFonts w:ascii="Times New Roman;Times;serif" w:hAnsi="Times New Roman;Times;serif"/>
          <w:sz w:val="24"/>
        </w:rPr>
        <w:t xml:space="preserve">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the Underwriter consists of the following information in the Prospectus furnished on behalf of each Underwriter:  the concession and reallowance figures appearing in the second paragraph under the caption “Underwriting” and the twelfth paragraph, the first sentence of paragraph 13 and the first sentence of paragraph 14 under the caption “Underwriting” relating to price stabilization, short positions and penalty bids.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Notice and Procedures.</w:t>
      </w:r>
      <w:r>
        <w:rPr>
          <w:rFonts w:ascii="Times New Roman;Times;serif" w:hAnsi="Times New Roman;Times;serif"/>
          <w:sz w:val="22"/>
        </w:rPr>
        <w:t xml:space="preserve">  </w:t>
      </w:r>
      <w:r>
        <w:rPr>
          <w:rFonts w:ascii="Times New Roman;Times;serif" w:hAnsi="Times New Roman;Times;serif"/>
          <w:sz w:val="24"/>
        </w:rPr>
        <w:t xml:space="preserve">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Times;serif" w:hAnsi="Times New Roman;Times;serif"/>
          <w:spacing w:val="-3"/>
          <w:sz w:val="24"/>
          <w:u w:val="single"/>
        </w:rPr>
        <w:t>provided</w:t>
      </w:r>
      <w:r>
        <w:rPr>
          <w:rFonts w:ascii="Times New Roman;Times;serif" w:hAnsi="Times New Roman;Times;serif"/>
          <w:spacing w:val="-3"/>
          <w:sz w:val="22"/>
        </w:rPr>
        <w:t xml:space="preserve"> </w:t>
      </w:r>
      <w:r>
        <w:rPr>
          <w:rFonts w:ascii="Times New Roman;Times;serif" w:hAnsi="Times New Roman;Times;serif"/>
          <w:spacing w:val="-3"/>
          <w:sz w:val="24"/>
        </w:rPr>
        <w:t xml:space="preserve">that the failure to notify the Indemnifying Person shall not relieve it from any liability that it may have under the preceding </w:t>
      </w:r>
      <w:r>
        <w:rPr>
          <w:rFonts w:ascii="Times New Roman;Times;serif" w:hAnsi="Times New Roman;Times;serif"/>
          <w:sz w:val="24"/>
        </w:rPr>
        <w:t>paragraphs of this Section 7</w:t>
      </w:r>
      <w:r>
        <w:rPr>
          <w:rFonts w:ascii="Times New Roman;Times;serif" w:hAnsi="Times New Roman;Times;serif"/>
          <w:spacing w:val="-3"/>
          <w:sz w:val="22"/>
        </w:rPr>
        <w:t xml:space="preserve"> </w:t>
      </w:r>
      <w:r>
        <w:rPr>
          <w:rFonts w:ascii="Times New Roman;Times;serif" w:hAnsi="Times New Roman;Times;serif"/>
          <w:spacing w:val="-3"/>
          <w:sz w:val="24"/>
        </w:rPr>
        <w:t xml:space="preserve">except to the extent that it has been materially prejudiced (through the forfeiture of substantive rights or defenses) by such failure; and </w:t>
      </w:r>
      <w:r>
        <w:rPr>
          <w:rFonts w:ascii="Times New Roman;Times;serif" w:hAnsi="Times New Roman;Times;serif"/>
          <w:spacing w:val="-3"/>
          <w:sz w:val="24"/>
          <w:u w:val="single"/>
        </w:rPr>
        <w:t>provided</w:t>
      </w:r>
      <w:r>
        <w:rPr>
          <w:rFonts w:ascii="Times New Roman;Times;serif" w:hAnsi="Times New Roman;Times;serif"/>
          <w:spacing w:val="-3"/>
          <w:sz w:val="24"/>
        </w:rPr>
        <w:t xml:space="preserve">, </w:t>
      </w:r>
      <w:r>
        <w:rPr>
          <w:rFonts w:ascii="Times New Roman;Times;serif" w:hAnsi="Times New Roman;Times;serif"/>
          <w:spacing w:val="-3"/>
          <w:sz w:val="24"/>
          <w:u w:val="single"/>
        </w:rPr>
        <w:t>further</w:t>
      </w:r>
      <w:r>
        <w:rPr>
          <w:rFonts w:ascii="Times New Roman;Times;serif" w:hAnsi="Times New Roman;Times;serif"/>
          <w:spacing w:val="-3"/>
          <w:sz w:val="24"/>
        </w:rPr>
        <w:t xml:space="preserve">, that the failure to notify the Indemnifying Person shall not relieve it from any liability that it may have to an Indemnified Person otherwise than under the preceding </w:t>
      </w:r>
      <w:r>
        <w:rPr>
          <w:rFonts w:ascii="Times New Roman;Times;serif" w:hAnsi="Times New Roman;Times;serif"/>
          <w:sz w:val="24"/>
        </w:rPr>
        <w:t>paragraphs of this Section 7</w:t>
      </w:r>
      <w:r>
        <w:rPr>
          <w:rFonts w:ascii="Times New Roman;Times;serif" w:hAnsi="Times New Roman;Times;serif"/>
          <w:spacing w:val="-3"/>
          <w:sz w:val="24"/>
        </w:rPr>
        <w:t>.  If any such proceeding shall be brought or asserted against an Indemnified Person and it shall have notified the Indemnifying Person thereof, the Indemnifying Person</w:t>
      </w:r>
      <w:r>
        <w:rPr>
          <w:rFonts w:ascii="Times New Roman;Times;serif" w:hAnsi="Times New Roman;Times;serif"/>
          <w:sz w:val="22"/>
        </w:rPr>
        <w:t xml:space="preserve"> </w:t>
      </w:r>
      <w:r>
        <w:rPr>
          <w:rFonts w:ascii="Times New Roman;Times;serif" w:hAnsi="Times New Roman;Times;serif"/>
          <w:sz w:val="24"/>
        </w:rPr>
        <w:t xml:space="preserve">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such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i/>
          <w:sz w:val="24"/>
        </w:rPr>
        <w:t>Contribution.</w:t>
      </w:r>
      <w:r>
        <w:rPr>
          <w:rFonts w:ascii="Times New Roman;Times;serif" w:hAnsi="Times New Roman;Times;serif"/>
          <w:sz w:val="22"/>
        </w:rPr>
        <w:t xml:space="preserve">  </w:t>
      </w:r>
      <w:r>
        <w:rPr>
          <w:rFonts w:ascii="Times New Roman;Times;serif" w:hAnsi="Times New Roman;Times;serif"/>
          <w:sz w:val="24"/>
        </w:rPr>
        <w:t>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(e)</w:t>
      </w:r>
      <w:r>
        <w:rPr>
          <w:rFonts w:ascii="Times New Roman;Times;serif" w:hAnsi="Times New Roman;Times;serif"/>
          <w:i/>
          <w:sz w:val="24"/>
        </w:rPr>
        <w:t>Limitation on Liability.</w:t>
      </w:r>
      <w:r>
        <w:rPr>
          <w:rFonts w:ascii="Times New Roman;Times;serif" w:hAnsi="Times New Roman;Times;serif"/>
          <w:sz w:val="22"/>
        </w:rPr>
        <w:t xml:space="preserve">  </w:t>
      </w:r>
      <w:r>
        <w:rPr>
          <w:rFonts w:ascii="Times New Roman;Times;serif" w:hAnsi="Times New Roman;Times;serif"/>
          <w:sz w:val="24"/>
        </w:rPr>
        <w:t xml:space="preserve">The Company and the Underwriters agree that it would not be just and equitable if contribution pursuant to paragraph (d) above were determined by </w:t>
      </w:r>
      <w:r>
        <w:rPr>
          <w:rFonts w:ascii="Times New Roman;Times;serif" w:hAnsi="Times New Roman;Times;serif"/>
          <w:sz w:val="24"/>
          <w:u w:val="single"/>
        </w:rPr>
        <w:t>pro</w:t>
      </w:r>
      <w:r>
        <w:rPr>
          <w:rFonts w:ascii="Times New Roman;Times;serif" w:hAnsi="Times New Roman;Times;serif"/>
          <w:sz w:val="22"/>
        </w:rPr>
        <w:t xml:space="preserve"> </w:t>
      </w:r>
      <w:r>
        <w:rPr>
          <w:rFonts w:ascii="Times New Roman;Times;serif" w:hAnsi="Times New Roman;Times;serif"/>
          <w:sz w:val="24"/>
          <w:u w:val="single"/>
        </w:rPr>
        <w:t>rata</w:t>
      </w:r>
      <w:r>
        <w:rPr>
          <w:rFonts w:ascii="Times New Roman;Times;serif" w:hAnsi="Times New Roman;Times;serif"/>
          <w:sz w:val="22"/>
        </w:rPr>
        <w:t xml:space="preserve"> </w:t>
      </w:r>
      <w:r>
        <w:rPr>
          <w:rFonts w:ascii="Times New Roman;Times;serif" w:hAnsi="Times New Roman;Times;serif"/>
          <w:sz w:val="24"/>
        </w:rPr>
        <w:t>allocation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the Underwriters with respect to the offering of the Securities exceeds the amount of any damages that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(f)</w:t>
      </w:r>
      <w:r>
        <w:rPr>
          <w:rFonts w:ascii="Times New Roman;Times;serif" w:hAnsi="Times New Roman;Times;serif"/>
          <w:i/>
          <w:sz w:val="24"/>
        </w:rPr>
        <w:t>Non-Exclusive Remedies.</w:t>
      </w:r>
      <w:r>
        <w:rPr>
          <w:rFonts w:ascii="Times New Roman;Times;serif" w:hAnsi="Times New Roman;Times;serif"/>
          <w:sz w:val="22"/>
        </w:rPr>
        <w:t xml:space="preserve">  </w:t>
      </w:r>
      <w:r>
        <w:rPr>
          <w:rFonts w:ascii="Times New Roman;Times;serif" w:hAnsi="Times New Roman;Times;serif"/>
          <w:sz w:val="24"/>
        </w:rPr>
        <w:t>The remedies provided for in Section 7(a)-(e) are not exclusive and shall not limit any rights or remedies which may otherwise be available to any Indemnified Person at law or in equity.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8.</w:t>
      </w:r>
      <w:r>
        <w:rPr>
          <w:rFonts w:ascii="Times New Roman;Times;serif" w:hAnsi="Times New Roman;Times;serif"/>
          <w:sz w:val="24"/>
          <w:u w:val="single"/>
        </w:rPr>
        <w:t>Effectiveness of Agreement</w:t>
      </w:r>
      <w:r>
        <w:rPr>
          <w:rFonts w:ascii="Times New Roman;Times;serif" w:hAnsi="Times New Roman;Times;serif"/>
          <w:sz w:val="24"/>
        </w:rPr>
        <w:t>.  This Agreement shall become effective as of the date first written above.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9.</w:t>
      </w:r>
      <w:r>
        <w:rPr>
          <w:rFonts w:ascii="Times New Roman;Times;serif" w:hAnsi="Times New Roman;Times;serif"/>
          <w:sz w:val="24"/>
          <w:u w:val="single"/>
        </w:rPr>
        <w:t>Termination</w:t>
      </w:r>
      <w:r>
        <w:rPr>
          <w:rFonts w:ascii="Times New Roman;Times;serif" w:hAnsi="Times New Roman;Times;serif"/>
          <w:sz w:val="24"/>
        </w:rPr>
        <w:t>.  This Agreement may be terminated by notice from the Representative to the Company if, after the execution and delivery of this Agreement and on or prior to the Closing Date or, in the case of the Option Securities, prior to the Additional Closing Date, (i) trading generally shall have been suspended or materially limited on or by the New York Stock Exchange, Nasdaq or NYSE American;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any material adverse change in general financial markets or any calamity or crisis, either within or outside the United States, that, in the reasonable judgment of the Representative, makes it impracticable or inadvisable to proceed with the offering, sale or delivery of the Securities on the Closing Date or the Additional Closing Date on the terms and in the manner contemplated by this Agreement, the Pricing Disclosure Package and the Prospectus.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10.</w:t>
      </w:r>
      <w:r>
        <w:rPr>
          <w:rFonts w:ascii="Times New Roman;Times;serif" w:hAnsi="Times New Roman;Times;serif"/>
          <w:sz w:val="24"/>
          <w:u w:val="single"/>
        </w:rPr>
        <w:t>Defaulting Underwriter</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(b)If,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(other than with respect to the defaulting Underwriter(s)) and except that the provisions of Section 7 hereof shall not terminate and shall remain in effect.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sz w:val="22"/>
        </w:rPr>
        <w:t> </w:t>
      </w:r>
      <w:r>
        <w:rPr>
          <w:rFonts w:ascii="Times New Roman;Times;serif" w:hAnsi="Times New Roman;Times;serif"/>
          <w:sz w:val="24"/>
        </w:rPr>
        <w:t>Nothing contained herein shall relieve a defaulting Underwriter of any liability it may have to the Company or any non-defaulting Underwriter for damages caused by its default.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11.</w:t>
      </w:r>
      <w:r>
        <w:rPr>
          <w:rFonts w:ascii="Times New Roman;Times;serif" w:hAnsi="Times New Roman;Times;serif"/>
          <w:sz w:val="24"/>
          <w:u w:val="single"/>
        </w:rPr>
        <w:t>Payment of Expenses</w:t>
      </w:r>
      <w:r>
        <w:rPr>
          <w:rFonts w:ascii="Times New Roman;Times;serif" w:hAnsi="Times New Roman;Times;serif"/>
          <w:i/>
          <w:sz w:val="24"/>
        </w:rPr>
        <w:t>.</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Securities under the laws of such jurisdictions as the Representative may designate and the preparation, printing and distribution of a Blue Sky Memorandum (including the related reasonable and documented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(ix) all expenses and application fees related to the listing of the Shares and the Warrant Shares on the NYSE American; and (x) the Representative’s reasonable, documented and actually incurred accountable expenses and fees in connection with the offer, sale and marketing of the Securities, including reasonable and documented fees and disbursements of the Underwriters’ legal counsel; provided that the aggregate amount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reimbursable by the Company under this Section 11, including Section 11(b), shall not exceed $125,000 without the Company’s prior written approval.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(b)If (i) this Agreement is terminated pursuant to Section 9 above other than as a result of a breach or default by an Underwriter, (ii) the Company fails to tender the Securities for delivery to the Underwriters other than as a result of a breach or default by an Underwriter or (iii) the Underwriters decline to purchase the Securities by reason of the Company’s failure to satisfy a condition to the Underwriters’ obligations under this Agreement, the Company agrees to reimburse the Representative for reasonable, documented and actually incurred out-of-pocket costs and expenses (including reasonable and documented fees and expenses of its counsel) incurred in connection with this Agreement and the offering contemplated hereby, in each case subject to the aggregate cap set forth in Section 11(a).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12.</w:t>
      </w:r>
      <w:r>
        <w:rPr>
          <w:rFonts w:ascii="Times New Roman;Times;serif" w:hAnsi="Times New Roman;Times;serif"/>
          <w:sz w:val="24"/>
          <w:u w:val="single"/>
        </w:rPr>
        <w:t>Persons Entitled to Benefit of Agreement</w:t>
      </w:r>
      <w:r>
        <w:rPr>
          <w:rFonts w:ascii="Times New Roman;Times;serif" w:hAnsi="Times New Roman;Times;serif"/>
          <w:sz w:val="24"/>
        </w:rPr>
        <w:t>.  This Agreement shall inure to the benefit of and be binding upon the parties hereto and their respective successors and the officers and directors and any controlling persons referred to herein, and the affiliates of the Underwriters referred to in Section 7 hereof.  Nothing in this Agreement is intended or shall be construed to give any other person any legal or equitable right, remedy or claim under or in respect of this Agreement or any provision contained herein.  No purchaser of Securities from the Underwriters shall be deemed to be a successor merely by reason of such purchase.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13.</w:t>
      </w:r>
      <w:r>
        <w:rPr>
          <w:rFonts w:ascii="Times New Roman;Times;serif" w:hAnsi="Times New Roman;Times;serif"/>
          <w:sz w:val="24"/>
          <w:u w:val="single"/>
        </w:rPr>
        <w:t>Survival</w:t>
      </w:r>
      <w:r>
        <w:rPr>
          <w:rFonts w:ascii="Times New Roman;Times;serif" w:hAnsi="Times New Roman;Times;serif"/>
          <w:sz w:val="24"/>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or the directors, officers, controlling persons or affiliates referred to in Section 7 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14.</w:t>
      </w:r>
      <w:r>
        <w:rPr>
          <w:rFonts w:ascii="Times New Roman;Times;serif" w:hAnsi="Times New Roman;Times;serif"/>
          <w:sz w:val="24"/>
          <w:u w:val="single"/>
        </w:rPr>
        <w:t>Certain Defined Terms</w:t>
      </w:r>
      <w:r>
        <w:rPr>
          <w:rFonts w:ascii="Times New Roman;Times;serif" w:hAnsi="Times New Roman;Times;serif"/>
          <w:sz w:val="24"/>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15.</w:t>
      </w:r>
      <w:r>
        <w:rPr>
          <w:rFonts w:ascii="Times New Roman;Times;serif" w:hAnsi="Times New Roman;Times;serif"/>
          <w:sz w:val="24"/>
          <w:u w:val="single"/>
        </w:rPr>
        <w:t>Compliance with USA Patriot Act</w:t>
      </w:r>
      <w:r>
        <w:rPr>
          <w:rFonts w:ascii="Times New Roman;Times;serif" w:hAnsi="Times New Roman;Times;serif"/>
          <w:sz w:val="24"/>
        </w:rPr>
        <w:t>.  In accordance with the requirements of the USA Patriot Act (Title III of Pub. L. 107-56 (signed into law October 26, 2001)), the Underwriters are required to obtain, verify and record information that identifies its clients, including the Company, which information may include the name and address of its clients, as well as other information that will allow the Underwriters to properly identify their clients.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16.</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(a)</w:t>
      </w:r>
      <w:r>
        <w:rPr>
          <w:rFonts w:ascii="Times New Roman;Times;serif" w:hAnsi="Times New Roman;Times;serif"/>
          <w:i/>
          <w:sz w:val="24"/>
        </w:rPr>
        <w:t>Notices.</w:t>
      </w:r>
      <w:r>
        <w:rPr>
          <w:rFonts w:ascii="Times New Roman;Times;serif" w:hAnsi="Times New Roman;Times;serif"/>
          <w:sz w:val="22"/>
        </w:rPr>
        <w:t xml:space="preserve">  </w:t>
      </w:r>
      <w:r>
        <w:rPr>
          <w:rFonts w:ascii="Times New Roman;Times;serif" w:hAnsi="Times New Roman;Times;serif"/>
          <w:sz w:val="24"/>
        </w:rPr>
        <w:t xml:space="preserve">All notices and other communications hereunder shall be in writing and shall be deemed to have been duly given if mailed or transmitted and confirmed by any standard form of telecommunication.  Notices to the Representative shall be given to the Representative at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Lake Street Capital Markets, LLC, 121 South 8</w:t>
      </w:r>
      <w:r>
        <w:rPr>
          <w:rFonts w:ascii="Times New Roman;Times;serif" w:hAnsi="Times New Roman;Times;serif"/>
          <w:sz w:val="18"/>
        </w:rPr>
        <w:t>th</w:t>
      </w:r>
      <w:r>
        <w:rPr>
          <w:rFonts w:ascii="Times New Roman;Times;serif" w:hAnsi="Times New Roman;Times;serif"/>
          <w:sz w:val="22"/>
        </w:rPr>
        <w:t xml:space="preserve"> </w:t>
      </w:r>
      <w:r>
        <w:rPr>
          <w:rFonts w:ascii="Times New Roman;Times;serif" w:hAnsi="Times New Roman;Times;serif"/>
          <w:sz w:val="24"/>
        </w:rPr>
        <w:t xml:space="preserve">Street, Ste. 1000, Minneapolis, MN 55402, Attention: Investment Banking, with a copy (which shall not constitute notice) to Faegre Drinker Biddle &amp; Reath LLP, 2200 Wells Fargo Center 90 S. Seventh Street, Minneapolis, Minnesota 55402 Attention: Jonathan Zimmerman.  Notices to the Company shall be given to it at </w:t>
      </w:r>
      <w:bookmarkStart w:id="43" w:name="_9kR3WTr89346GQI8up51x3"/>
      <w:bookmarkEnd w:id="43"/>
      <w:r>
        <w:rPr>
          <w:rFonts w:ascii="Times New Roman;Times;serif" w:hAnsi="Times New Roman;Times;serif"/>
          <w:sz w:val="24"/>
        </w:rPr>
        <w:t>AEON Biopharma, Inc., 5 Park Plaza, Suite 1750, Irvine, California 92614 Attention:</w:t>
      </w:r>
      <w:r>
        <w:rPr>
          <w:rFonts w:ascii="Times New Roman;Times;serif" w:hAnsi="Times New Roman;Times;serif"/>
          <w:sz w:val="22"/>
        </w:rPr>
        <w:t xml:space="preserve"> </w:t>
      </w:r>
      <w:r>
        <w:rPr>
          <w:rFonts w:ascii="Times New Roman;Times;serif" w:hAnsi="Times New Roman;Times;serif"/>
          <w:sz w:val="24"/>
        </w:rPr>
        <w:t>John Bencich, with a copy (which shall not constitute notice) to Sullivan &amp; Worcester LLP, 1251 Avenue of the Americas, New York, New York 10020 Attention: David Danovitch.</w:t>
      </w:r>
      <w:r>
        <w:rPr>
          <w:rFonts w:ascii="Times New Roman;Times;serif" w:hAnsi="Times New Roman;Times;serif"/>
          <w:sz w:val="22"/>
        </w:rPr>
        <w:t xml:space="preserve">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(b)</w:t>
      </w:r>
      <w:r>
        <w:rPr>
          <w:rFonts w:ascii="Times New Roman;Times;serif" w:hAnsi="Times New Roman;Times;serif"/>
          <w:i/>
          <w:sz w:val="24"/>
        </w:rPr>
        <w:t>Governing Law.</w:t>
      </w:r>
      <w:r>
        <w:rPr>
          <w:rFonts w:ascii="Times New Roman;Times;serif" w:hAnsi="Times New Roman;Times;serif"/>
          <w:sz w:val="22"/>
        </w:rPr>
        <w:t xml:space="preserve">  </w:t>
      </w:r>
      <w:r>
        <w:rPr>
          <w:rFonts w:ascii="Times New Roman;Times;serif" w:hAnsi="Times New Roman;Times;serif"/>
          <w:sz w:val="24"/>
        </w:rPr>
        <w:t xml:space="preserve">This Agreement and any claim, controversy or dispute arising under or related to this Agreement shall be governed by and construed in accordance with the laws of the State of New York.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(c)</w:t>
      </w:r>
      <w:r>
        <w:rPr>
          <w:rFonts w:ascii="Times New Roman;Times;serif" w:hAnsi="Times New Roman;Times;serif"/>
          <w:i/>
          <w:sz w:val="24"/>
        </w:rPr>
        <w:t>Submission to Jurisdiction</w:t>
      </w:r>
      <w:r>
        <w:rPr>
          <w:rFonts w:ascii="Times New Roman;Times;serif" w:hAnsi="Times New Roman;Times;serif"/>
          <w:sz w:val="24"/>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(d)</w:t>
      </w:r>
      <w:r>
        <w:rPr>
          <w:rFonts w:ascii="Times New Roman;Times;serif" w:hAnsi="Times New Roman;Times;serif"/>
          <w:i/>
          <w:sz w:val="24"/>
        </w:rPr>
        <w:t>Waiver of Jury Trial.</w:t>
      </w:r>
      <w:r>
        <w:rPr>
          <w:rFonts w:ascii="Times New Roman;Times;serif" w:hAnsi="Times New Roman;Times;serif"/>
          <w:sz w:val="22"/>
        </w:rPr>
        <w:t xml:space="preserve">  </w:t>
      </w:r>
      <w:r>
        <w:rPr>
          <w:rFonts w:ascii="Times New Roman;Times;serif" w:hAnsi="Times New Roman;Times;serif"/>
          <w:sz w:val="24"/>
        </w:rPr>
        <w:t>Each of the parties hereto hereby waives any right to trial by jury in any suit or proceeding arising out of or relating to this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4"/>
        </w:rPr>
        <w:t>(e)</w:t>
      </w:r>
      <w:r>
        <w:rPr>
          <w:rFonts w:ascii="Times New Roman;Times;serif" w:hAnsi="Times New Roman;Times;serif"/>
          <w:i/>
          <w:sz w:val="24"/>
        </w:rPr>
        <w:t>Recognition of the U.S. Special Resolution Regimes</w:t>
      </w:r>
      <w:r>
        <w:rPr>
          <w:rFonts w:ascii="Times New Roman;Times;serif" w:hAnsi="Times New Roman;Times;serif"/>
          <w:sz w:val="24"/>
        </w:rPr>
        <w:t xml:space="preserve">. </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 xml:space="preserve">(i) 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240"/>
        <w:ind w:left="720" w:right="0" w:firstLine="720"/>
        <w:jc w:val="both"/>
        <w:rPr>
          <w:rFonts w:ascii="Times New Roman;Times;serif" w:hAnsi="Times New Roman;Times;serif"/>
          <w:sz w:val="24"/>
        </w:rPr>
      </w:pPr>
      <w:r>
        <w:rPr>
          <w:rFonts w:ascii="Times New Roman;Times;serif" w:hAnsi="Times New Roman;Times;serif"/>
          <w:sz w:val="24"/>
        </w:rPr>
        <w:t>(ii) In the event that any Underwriter is a Covered Entity and becomes subject, or a BHC Act Affiliate of such Underwriter becomes subject, to a proceeding under a U.S. Special Resolution Regime, Default Rights under this Agreement that may be exercised against such Underwriter is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240"/>
        <w:ind w:left="1440" w:right="0" w:hanging="0"/>
        <w:jc w:val="left"/>
        <w:rPr>
          <w:rFonts w:ascii="Times New Roman;Times;serif" w:hAnsi="Times New Roman;Times;serif"/>
          <w:sz w:val="24"/>
        </w:rPr>
      </w:pPr>
      <w:r>
        <w:rPr>
          <w:rFonts w:ascii="Times New Roman;Times;serif" w:hAnsi="Times New Roman;Times;serif"/>
          <w:sz w:val="24"/>
        </w:rPr>
        <w:t>As used in this Section 16(e):</w:t>
      </w:r>
    </w:p>
    <w:p>
      <w:pPr>
        <w:pStyle w:val="TextBody"/>
        <w:bidi w:val="0"/>
        <w:spacing w:before="0" w:after="240"/>
        <w:ind w:left="1440" w:right="0" w:hanging="0"/>
        <w:jc w:val="left"/>
        <w:rPr/>
      </w:pPr>
      <w:r>
        <w:rPr/>
        <w:t>“</w:t>
      </w:r>
      <w:r>
        <w:rPr>
          <w:rFonts w:ascii="Times New Roman;Times;serif" w:hAnsi="Times New Roman;Times;serif"/>
          <w:sz w:val="24"/>
        </w:rPr>
        <w:t xml:space="preserve">BHC Act Affiliate” has the meaning assigned to the term “affiliate” in, and shall be interpreted in accordance with, 12 U.S.C. § 1841(k). </w:t>
      </w:r>
    </w:p>
    <w:p>
      <w:pPr>
        <w:pStyle w:val="TextBody"/>
        <w:bidi w:val="0"/>
        <w:spacing w:before="0" w:after="240"/>
        <w:ind w:left="1440" w:right="0" w:hanging="0"/>
        <w:jc w:val="left"/>
        <w:rPr/>
      </w:pPr>
      <w:r>
        <w:rPr/>
        <w:t>“</w:t>
      </w:r>
      <w:r>
        <w:rPr>
          <w:rFonts w:ascii="Times New Roman;Times;serif" w:hAnsi="Times New Roman;Times;serif"/>
          <w:sz w:val="24"/>
        </w:rPr>
        <w:t xml:space="preserve">Covered Entity” means any of the following: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1800" w:right="0" w:hanging="0"/>
        <w:jc w:val="both"/>
        <w:rPr>
          <w:rFonts w:ascii="Times New Roman;Times;serif" w:hAnsi="Times New Roman;Times;serif"/>
          <w:sz w:val="24"/>
        </w:rPr>
      </w:pPr>
      <w:r>
        <w:rPr>
          <w:rFonts w:ascii="Times New Roman;Times;serif" w:hAnsi="Times New Roman;Times;serif"/>
          <w:sz w:val="24"/>
        </w:rPr>
        <w:t xml:space="preserve">(i) a “covered entity” as that term is defined in, and interpreted in accordance with, 12 C.F.R. § 252.82(b); </w:t>
      </w:r>
    </w:p>
    <w:p>
      <w:pPr>
        <w:pStyle w:val="TextBody"/>
        <w:bidi w:val="0"/>
        <w:spacing w:before="0" w:after="240"/>
        <w:ind w:left="1800" w:right="0" w:hanging="0"/>
        <w:jc w:val="both"/>
        <w:rPr>
          <w:rFonts w:ascii="Times New Roman;Times;serif" w:hAnsi="Times New Roman;Times;serif"/>
          <w:sz w:val="24"/>
        </w:rPr>
      </w:pPr>
      <w:r>
        <w:rPr>
          <w:rFonts w:ascii="Times New Roman;Times;serif" w:hAnsi="Times New Roman;Times;serif"/>
          <w:sz w:val="24"/>
        </w:rPr>
        <w:t xml:space="preserve">(ii) a “covered bank” as that term is defined in, and interpreted in accordance with, 12 C.F.R. § 47.3(b); or </w:t>
      </w:r>
    </w:p>
    <w:p>
      <w:pPr>
        <w:pStyle w:val="TextBody"/>
        <w:bidi w:val="0"/>
        <w:spacing w:before="0" w:after="240"/>
        <w:ind w:left="1800" w:right="0" w:hanging="0"/>
        <w:jc w:val="both"/>
        <w:rPr>
          <w:rFonts w:ascii="Times New Roman;Times;serif" w:hAnsi="Times New Roman;Times;serif"/>
          <w:sz w:val="24"/>
        </w:rPr>
      </w:pPr>
      <w:r>
        <w:rPr>
          <w:rFonts w:ascii="Times New Roman;Times;serif" w:hAnsi="Times New Roman;Times;serif"/>
          <w:sz w:val="24"/>
        </w:rPr>
        <w:t xml:space="preserve">(iii) a “covered FSI” as that term is defined in, and interpreted in accordance with, 12 C.F.R. § 382.2(b). </w:t>
      </w:r>
    </w:p>
    <w:p>
      <w:pPr>
        <w:pStyle w:val="TextBody"/>
        <w:bidi w:val="0"/>
        <w:spacing w:before="0" w:after="240"/>
        <w:ind w:left="1440" w:right="0" w:hanging="0"/>
        <w:jc w:val="both"/>
        <w:rPr/>
      </w:pPr>
      <w:r>
        <w:rPr/>
        <w:t>“</w:t>
      </w:r>
      <w:r>
        <w:rPr>
          <w:rFonts w:ascii="Times New Roman;Times;serif" w:hAnsi="Times New Roman;Times;serif"/>
          <w:sz w:val="24"/>
        </w:rPr>
        <w:t xml:space="preserve">Default Right” has the meaning assigned to that term in, and shall be interpreted in accordance with, 12 C.F.R. §§ 252.81, 47.2 or 382.1, as applicable. </w:t>
      </w:r>
    </w:p>
    <w:p>
      <w:pPr>
        <w:pStyle w:val="TextBody"/>
        <w:bidi w:val="0"/>
        <w:spacing w:before="0" w:after="240"/>
        <w:ind w:left="1440" w:right="0" w:hanging="0"/>
        <w:jc w:val="both"/>
        <w:rPr/>
      </w:pPr>
      <w:r>
        <w:rPr/>
        <w:t>“</w:t>
      </w:r>
      <w:r>
        <w:rPr>
          <w:rFonts w:ascii="Times New Roman;Times;serif" w:hAnsi="Times New Roman;Times;serif"/>
          <w:sz w:val="24"/>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(f)</w:t>
      </w:r>
      <w:r>
        <w:rPr>
          <w:rFonts w:ascii="Times New Roman;Times;serif" w:hAnsi="Times New Roman;Times;serif"/>
          <w:i/>
          <w:sz w:val="24"/>
        </w:rPr>
        <w:t>Counterparts</w:t>
      </w:r>
      <w:r>
        <w:rPr>
          <w:rFonts w:ascii="Times New Roman;Times;serif" w:hAnsi="Times New Roman;Times;serif"/>
          <w:sz w:val="24"/>
        </w:rPr>
        <w:t>.  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(g)</w:t>
      </w:r>
      <w:r>
        <w:rPr>
          <w:rFonts w:ascii="Times New Roman;Times;serif" w:hAnsi="Times New Roman;Times;serif"/>
          <w:i/>
          <w:sz w:val="24"/>
        </w:rPr>
        <w:t>Amendments or Waivers</w:t>
      </w:r>
      <w:r>
        <w:rPr>
          <w:rFonts w:ascii="Times New Roman;Times;serif" w:hAnsi="Times New Roman;Times;serif"/>
          <w:sz w:val="24"/>
        </w:rPr>
        <w:t>.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4"/>
        </w:rPr>
        <w:t>(h)</w:t>
      </w:r>
      <w:r>
        <w:rPr>
          <w:rFonts w:ascii="Times New Roman;Times;serif" w:hAnsi="Times New Roman;Times;serif"/>
          <w:i/>
          <w:sz w:val="24"/>
        </w:rPr>
        <w:t>Headings</w:t>
      </w:r>
      <w:r>
        <w:rPr>
          <w:rFonts w:ascii="Times New Roman;Times;serif" w:hAnsi="Times New Roman;Times;serif"/>
          <w:sz w:val="24"/>
        </w:rPr>
        <w:t>.  The headings herein are included for convenience of reference only and are not intended to be part of, or to affect the meaning or interpretation of, this Agreement.</w:t>
      </w:r>
    </w:p>
    <w:p>
      <w:pPr>
        <w:pStyle w:val="TextBody"/>
        <w:bidi w:val="0"/>
        <w:spacing w:before="0" w:after="240"/>
        <w:ind w:left="72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1.1</w:t>
      </w:r>
    </w:p>
    <w:p>
      <w:pPr>
        <w:pStyle w:val="TextBody"/>
        <w:bidi w:val="0"/>
        <w:spacing w:before="0" w:after="0"/>
        <w:ind w:left="0" w:right="0" w:hanging="0"/>
        <w:jc w:val="right"/>
        <w:rPr>
          <w:rFonts w:ascii="Times New Roman;Times;serif" w:hAnsi="Times New Roman;Times;serif"/>
          <w:b/>
          <w:i/>
          <w:sz w:val="22"/>
        </w:rPr>
      </w:pPr>
      <w:r>
        <w:rPr>
          <w:rFonts w:ascii="Times New Roman;Times;serif" w:hAnsi="Times New Roman;Times;serif"/>
          <w:b/>
          <w:i/>
          <w:sz w:val="22"/>
        </w:rPr>
        <w:t>EXECUTION VERSION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If the foregoing is in accordance with your understanding, please indicate your acceptance of this Agreement by signing in the space provided below.</w:t>
      </w:r>
    </w:p>
    <w:p>
      <w:pPr>
        <w:pStyle w:val="TextBody"/>
        <w:bidi w:val="0"/>
        <w:spacing w:before="240" w:after="0"/>
        <w:ind w:left="504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240" w:after="0"/>
        <w:ind w:left="5040" w:right="0" w:hanging="0"/>
        <w:jc w:val="left"/>
        <w:rPr>
          <w:rFonts w:ascii="Times New Roman;Times;serif" w:hAnsi="Times New Roman;Times;serif"/>
          <w:sz w:val="24"/>
        </w:rPr>
      </w:pPr>
      <w:r>
        <w:rPr>
          <w:rFonts w:ascii="Times New Roman;Times;serif" w:hAnsi="Times New Roman;Times;serif"/>
          <w:sz w:val="24"/>
        </w:rPr>
        <w:t xml:space="preserve">AEON Biopharma, Inc. </w:t>
      </w:r>
    </w:p>
    <w:p>
      <w:pPr>
        <w:pStyle w:val="TextBody"/>
        <w:bidi w:val="0"/>
        <w:spacing w:before="480" w:after="0"/>
        <w:ind w:left="504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4"/>
          <w:u w:val="single"/>
        </w:rPr>
        <w:t>/s/ Robert Bancroft</w:t>
      </w:r>
      <w:r>
        <w:rPr>
          <w:rFonts w:ascii="Times New Roman;Times;serif" w:hAnsi="Times New Roman;Times;serif"/>
          <w:sz w:val="22"/>
          <w:u w:val="single"/>
        </w:rPr>
        <w:t>​ ​</w:t>
      </w:r>
      <w:r>
        <w:rPr>
          <w:rFonts w:ascii="Times New Roman;Times;serif" w:hAnsi="Times New Roman;Times;serif"/>
          <w:sz w:val="24"/>
        </w:rPr>
        <w:br/>
        <w:t>Name: Robert Bancroft</w:t>
        <w:br/>
        <w:t>Title: Chief Executive Officer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Underwriting Agreement]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4"/>
        </w:rPr>
        <w:t xml:space="preserve">Accepted: As of the date first written </w:t>
      </w:r>
      <w:bookmarkStart w:id="44" w:name="_9kR3WTr5B847BWV11zw0qo41vA"/>
      <w:bookmarkEnd w:id="44"/>
      <w:r>
        <w:rPr>
          <w:rFonts w:ascii="Times New Roman;Times;serif" w:hAnsi="Times New Roman;Times;serif"/>
          <w:sz w:val="24"/>
        </w:rPr>
        <w:t>above</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LAKE STREET CAPITAL MARKETS, LLC</w:t>
      </w:r>
    </w:p>
    <w:p>
      <w:pPr>
        <w:pStyle w:val="TextBody"/>
        <w:bidi w:val="0"/>
        <w:spacing w:before="24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For itself and on behalf of the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Underwriters listed</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Schedule 1 hereto</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b w:val="false"/>
          <w:i w:val="false"/>
          <w:caps w:val="false"/>
          <w:smallCaps w:val="false"/>
          <w:sz w:val="24"/>
        </w:rPr>
        <w:t>By:</w:t>
      </w:r>
      <w:r>
        <w:rPr>
          <w:rFonts w:ascii="Times New Roman;Times;serif" w:hAnsi="Times New Roman;Times;serif"/>
          <w:sz w:val="24"/>
          <w:u w:val="single"/>
        </w:rPr>
        <w:t>/s/ Mark Argento</w:t>
      </w:r>
      <w:r>
        <w:rPr>
          <w:rFonts w:ascii="Times New Roman;Times;serif" w:hAnsi="Times New Roman;Times;serif"/>
          <w:sz w:val="22"/>
          <w:u w:val="single"/>
        </w:rPr>
        <w:t>​ ​</w:t>
      </w:r>
      <w:r>
        <w:rPr>
          <w:rFonts w:ascii="Times New Roman;Times;serif" w:hAnsi="Times New Roman;Times;serif"/>
          <w:sz w:val="24"/>
        </w:rPr>
        <w:br/>
        <w:t>Name: Mark Argento</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President</w:t>
      </w:r>
    </w:p>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Underwriting Agreement]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Schedule 1</w:t>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933"/>
        <w:gridCol w:w="1468"/>
        <w:gridCol w:w="2021"/>
        <w:gridCol w:w="2368"/>
        <w:gridCol w:w="2415"/>
      </w:tblGrid>
      <w:tr>
        <w:trPr/>
        <w:tc>
          <w:tcPr>
            <w:tcW w:w="1933" w:type="dxa"/>
            <w:tcBorders/>
            <w:vAlign w:val="center"/>
          </w:tcPr>
          <w:p>
            <w:pPr>
              <w:pStyle w:val="TableContents"/>
              <w:bidi w:val="0"/>
              <w:spacing w:before="0" w:after="0"/>
              <w:ind w:left="0" w:right="0" w:hanging="0"/>
              <w:jc w:val="left"/>
              <w:rPr/>
            </w:pPr>
            <w:r>
              <w:rPr/>
              <w:t>​</w:t>
            </w:r>
          </w:p>
        </w:tc>
        <w:tc>
          <w:tcPr>
            <w:tcW w:w="1468" w:type="dxa"/>
            <w:tcBorders/>
            <w:vAlign w:val="center"/>
          </w:tcPr>
          <w:p>
            <w:pPr>
              <w:pStyle w:val="TableContents"/>
              <w:bidi w:val="0"/>
              <w:spacing w:before="0" w:after="0"/>
              <w:ind w:left="0" w:right="0" w:hanging="0"/>
              <w:jc w:val="left"/>
              <w:rPr/>
            </w:pPr>
            <w:r>
              <w:rPr/>
              <w:t>​</w:t>
            </w:r>
          </w:p>
        </w:tc>
        <w:tc>
          <w:tcPr>
            <w:tcW w:w="2021" w:type="dxa"/>
            <w:tcBorders/>
            <w:vAlign w:val="center"/>
          </w:tcPr>
          <w:p>
            <w:pPr>
              <w:pStyle w:val="TableContents"/>
              <w:bidi w:val="0"/>
              <w:spacing w:before="0" w:after="0"/>
              <w:ind w:left="0" w:right="0" w:hanging="0"/>
              <w:jc w:val="left"/>
              <w:rPr/>
            </w:pPr>
            <w:r>
              <w:rPr/>
              <w:t>​</w:t>
            </w:r>
          </w:p>
        </w:tc>
        <w:tc>
          <w:tcPr>
            <w:tcW w:w="2368" w:type="dxa"/>
            <w:tcBorders/>
            <w:vAlign w:val="center"/>
          </w:tcPr>
          <w:p>
            <w:pPr>
              <w:pStyle w:val="TableContents"/>
              <w:bidi w:val="0"/>
              <w:spacing w:before="0" w:after="0"/>
              <w:ind w:left="0" w:right="0" w:hanging="0"/>
              <w:jc w:val="left"/>
              <w:rPr/>
            </w:pPr>
            <w:r>
              <w:rPr/>
              <w:t>​</w:t>
            </w:r>
          </w:p>
        </w:tc>
        <w:tc>
          <w:tcPr>
            <w:tcW w:w="2415" w:type="dxa"/>
            <w:tcBorders/>
            <w:vAlign w:val="center"/>
          </w:tcPr>
          <w:p>
            <w:pPr>
              <w:pStyle w:val="TableContents"/>
              <w:bidi w:val="0"/>
              <w:spacing w:before="0" w:after="0"/>
              <w:ind w:left="0" w:right="0" w:hanging="0"/>
              <w:jc w:val="left"/>
              <w:rPr/>
            </w:pPr>
            <w:r>
              <w:rPr/>
              <w:t>​</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Name of Underwriter</w:t>
            </w:r>
          </w:p>
        </w:tc>
        <w:tc>
          <w:tcPr>
            <w:tcW w:w="14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Firm Shares</w:t>
            </w:r>
          </w:p>
        </w:tc>
        <w:tc>
          <w:tcPr>
            <w:tcW w:w="2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Firm Pre-Funded Warrants</w:t>
            </w:r>
          </w:p>
        </w:tc>
        <w:tc>
          <w:tcPr>
            <w:tcW w:w="23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Firm Two-Year Milestone Warrants</w:t>
            </w:r>
          </w:p>
        </w:tc>
        <w:tc>
          <w:tcPr>
            <w:tcW w:w="24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Number of Firm Five-Year Milestone Warrants</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Lake Street Capital Markets, LLC</w:t>
            </w:r>
          </w:p>
        </w:tc>
        <w:tc>
          <w:tcPr>
            <w:tcW w:w="14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15,173,860</w:t>
            </w:r>
          </w:p>
        </w:tc>
        <w:tc>
          <w:tcPr>
            <w:tcW w:w="2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21,111,457</w:t>
            </w:r>
          </w:p>
        </w:tc>
        <w:tc>
          <w:tcPr>
            <w:tcW w:w="23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36,285,316</w:t>
            </w:r>
          </w:p>
        </w:tc>
        <w:tc>
          <w:tcPr>
            <w:tcW w:w="24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36,285,316</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Laidlaw &amp; Company (UK) Ltd.</w:t>
            </w:r>
          </w:p>
        </w:tc>
        <w:tc>
          <w:tcPr>
            <w:tcW w:w="14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2,677,739</w:t>
            </w:r>
          </w:p>
        </w:tc>
        <w:tc>
          <w:tcPr>
            <w:tcW w:w="2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3,725,551</w:t>
            </w:r>
          </w:p>
        </w:tc>
        <w:tc>
          <w:tcPr>
            <w:tcW w:w="23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6,403,291</w:t>
            </w:r>
          </w:p>
        </w:tc>
        <w:tc>
          <w:tcPr>
            <w:tcW w:w="24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6,403,291</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4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17,851,599</w:t>
            </w:r>
          </w:p>
        </w:tc>
        <w:tc>
          <w:tcPr>
            <w:tcW w:w="20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24,837,008</w:t>
            </w:r>
          </w:p>
        </w:tc>
        <w:tc>
          <w:tcPr>
            <w:tcW w:w="236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42,688,607</w:t>
            </w:r>
          </w:p>
        </w:tc>
        <w:tc>
          <w:tcPr>
            <w:tcW w:w="241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42,688,607</w:t>
            </w:r>
          </w:p>
        </w:tc>
      </w:tr>
      <w:tr>
        <w:trPr/>
        <w:tc>
          <w:tcPr>
            <w:tcW w:w="193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4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3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41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Schedule 2</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Significant Subsidiaries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bookmarkStart w:id="45" w:name="_9kR3WTr893478"/>
      <w:bookmarkEnd w:id="45"/>
      <w:r>
        <w:rPr>
          <w:rFonts w:ascii="Times New Roman;Times;serif" w:hAnsi="Times New Roman;Times;serif"/>
          <w:sz w:val="24"/>
        </w:rPr>
        <w:t>AEON Biopharma Sub, Inc., a Delaware corporation</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Annex A</w:t>
      </w:r>
    </w:p>
    <w:p>
      <w:pPr>
        <w:pStyle w:val="TextBody"/>
        <w:bidi w:val="0"/>
        <w:spacing w:before="48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a.</w:t>
      </w:r>
      <w:r>
        <w:rPr>
          <w:rFonts w:ascii="Times New Roman;Times;serif" w:hAnsi="Times New Roman;Times;serif"/>
          <w:b/>
          <w:sz w:val="24"/>
        </w:rPr>
        <w:t>Pricing Disclosure Package</w:t>
      </w:r>
    </w:p>
    <w:p>
      <w:pPr>
        <w:pStyle w:val="TextBody"/>
        <w:bidi w:val="0"/>
        <w:spacing w:before="240" w:after="240"/>
        <w:ind w:left="0" w:right="0" w:firstLine="720"/>
        <w:jc w:val="left"/>
        <w:rPr>
          <w:rFonts w:ascii="Times New Roman;Times;serif" w:hAnsi="Times New Roman;Times;serif"/>
          <w:sz w:val="24"/>
        </w:rPr>
      </w:pPr>
      <w:bookmarkStart w:id="46" w:name="_9kR3WTr6GC45BXIw8vdckRXEH42"/>
      <w:bookmarkEnd w:id="46"/>
      <w:r>
        <w:rPr>
          <w:rFonts w:ascii="Times New Roman;Times;serif" w:hAnsi="Times New Roman;Times;serif"/>
          <w:sz w:val="24"/>
        </w:rPr>
        <w:t>None.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4"/>
        </w:rPr>
        <w:t xml:space="preserve">b. </w:t>
      </w:r>
      <w:r>
        <w:rPr>
          <w:rFonts w:ascii="Times New Roman;Times;serif" w:hAnsi="Times New Roman;Times;serif"/>
          <w:b/>
          <w:sz w:val="24"/>
        </w:rPr>
        <w:t>Pricing Information Provided Orally by Underwriter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Public Offering Price per Share and Common Warrants: $0.3221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Public Offering Price per Pre-Funded Warrant and Common Warrants: $0.3220</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Pre-Funded Warrant Exercise Price: $0.0001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Two-Year Milestone Warrant Exercise Price: $0.3221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Five-Year Milestone Warrant Exercise Price: $0.3704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Firm Shares: 17,851,599</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Pre-Funded Warrants: 24,837,008</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Two-Year Milestone Warrants: 42,688,607</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Five-Year Milestone Warrants: 42,688,607</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Option Shares: 6,403,290</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Pre-Funded Option Warrants: 6,403,290</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Two-Year Milestone Option Warrants: 6,403,290</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Number of Five-Year Milestone Option Warrants: 6,403,290</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Annex B</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Written Testing-the-Waters Communications</w:t>
      </w:r>
    </w:p>
    <w:p>
      <w:pPr>
        <w:pStyle w:val="TextBody"/>
        <w:bidi w:val="0"/>
        <w:spacing w:before="480" w:after="0"/>
        <w:ind w:left="0" w:right="0" w:hanging="0"/>
        <w:jc w:val="left"/>
        <w:rPr>
          <w:rFonts w:ascii="Times New Roman;Times;serif" w:hAnsi="Times New Roman;Times;serif"/>
          <w:sz w:val="24"/>
        </w:rPr>
      </w:pPr>
      <w:r>
        <w:rPr>
          <w:rFonts w:ascii="Times New Roman;Times;serif" w:hAnsi="Times New Roman;Times;serif"/>
          <w:sz w:val="24"/>
        </w:rPr>
        <w:t>June 2026 Investor Presentation</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Annex C</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4"/>
        </w:rPr>
        <w:t>AEON Biopharma, Inc.</w:t>
        <w:br/>
        <w:br/>
      </w:r>
      <w:r>
        <w:rPr>
          <w:rFonts w:ascii="Times New Roman;Times;serif" w:hAnsi="Times New Roman;Times;serif"/>
          <w:sz w:val="24"/>
          <w:u w:val="single"/>
        </w:rPr>
        <w:t>Pricing Term Sheet</w:t>
      </w:r>
      <w:r>
        <w:rPr>
          <w:rFonts w:ascii="Times New Roman;Times;serif" w:hAnsi="Times New Roman;Times;serif"/>
          <w:sz w:val="24"/>
        </w:rPr>
        <w:br/>
        <w:br/>
        <w:br/>
      </w:r>
      <w:bookmarkStart w:id="47" w:name="_9kR3WTr6GC46Ad6qr2t"/>
      <w:bookmarkEnd w:id="47"/>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4"/>
        </w:rPr>
      </w:pPr>
      <w:r>
        <w:rPr>
          <w:rFonts w:ascii="Times New Roman;Times;serif" w:hAnsi="Times New Roman;Times;serif"/>
          <w:sz w:val="24"/>
        </w:rPr>
        <w:t>Exhibit A</w:t>
      </w:r>
    </w:p>
    <w:p>
      <w:pPr>
        <w:pStyle w:val="TextBody"/>
        <w:bidi w:val="0"/>
        <w:spacing w:before="0" w:after="0"/>
        <w:ind w:left="0" w:right="0" w:hanging="0"/>
        <w:jc w:val="righ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4"/>
        </w:rPr>
        <w:t xml:space="preserve">Testing-the-Waters Authorization (to be delivered by AEON Biopharma, Inc. to Lake Street Capital Markets, LLC in email or letter </w:t>
      </w:r>
      <w:bookmarkStart w:id="48" w:name="_9kMIH5YVt7DA69DYX331y2sq63xC"/>
      <w:bookmarkEnd w:id="48"/>
      <w:r>
        <w:rPr>
          <w:rFonts w:ascii="Times New Roman;Times;serif" w:hAnsi="Times New Roman;Times;serif"/>
          <w:sz w:val="24"/>
        </w:rPr>
        <w:t>form)</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In reliance on Rule 163B under the Securities Act of 1933, as amended (the “Act”), AEON Biopharma, Inc. (the “Issuer”) hereby authorizes Lake Street Capital Markets, LLC (“Lake Street”), as representative of the underwriters, and its affiliates and employees to engage on behalf of the Issuer in oral and written communications with potential investors that are reasonably believed to be “qualified institutional buyers,” as defined in Rule 144A under the Act, or institutions that are “accredited investors,” within the meaning of Rule 501(a)(1), (a)(2), (a)(3), (a)(7) or (a)(8) under the Act, to determine whether such investors might have an interest in the Issuer’s contemplated public offering (“Testing-the-Waters Communications”).  A “Written Testing-the Waters Communication” means any Testing-the-Waters Communication that is a written communication within the meaning of Rule 405 under the Act.  Lake Street agrees that it shall not distribute any Written Testing-the-Waters Communication that has not been approved by the Issuer.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Lake Street and will promptly amend or supplement, at its own expense, such Written Testing-the-Waters Communication to eliminate or correct such untrue statement or omission.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Nothing in this authorization is intended to limit or otherwise affect the ability of Lake Street and its affiliates and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Lake Street a written notice revoking this authorization.  All notices as described herein shall be sent by email to the attention of Michael Fenton at [***], with copies to Jonathan Zimmerman at [***].</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Exhibit B</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of Waiver of Lock-up</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LAKE STREET CAPITAL MARKETS, LLC</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AEON Biopharma, Inc.</w:t>
        <w:br/>
        <w:t>Public Offering of Common Stock</w:t>
      </w:r>
    </w:p>
    <w:p>
      <w:pPr>
        <w:pStyle w:val="TextBody"/>
        <w:pBdr/>
        <w:bidi w:val="0"/>
        <w:spacing w:before="0" w:after="480"/>
        <w:ind w:left="5040" w:right="0" w:hanging="360"/>
        <w:jc w:val="right"/>
        <w:rPr>
          <w:rFonts w:ascii="Times New Roman;Times;serif" w:hAnsi="Times New Roman;Times;serif"/>
          <w:sz w:val="24"/>
        </w:rPr>
      </w:pPr>
      <w:r>
        <w:rPr>
          <w:rFonts w:ascii="Times New Roman;Times;serif" w:hAnsi="Times New Roman;Times;serif"/>
          <w:sz w:val="24"/>
        </w:rPr>
        <w:t>, 20</w:t>
      </w:r>
      <w:bookmarkStart w:id="49" w:name="_9kR3WTr7D847CDA"/>
      <w:bookmarkEnd w:id="49"/>
      <w:r>
        <w:rPr>
          <w:rFonts w:ascii="Times New Roman;Times;serif" w:hAnsi="Times New Roman;Times;serif"/>
          <w:sz w:val="24"/>
        </w:rPr>
        <w:t>__</w:t>
      </w:r>
    </w:p>
    <w:p>
      <w:pPr>
        <w:pStyle w:val="TextBody"/>
        <w:bidi w:val="0"/>
        <w:spacing w:before="0" w:after="240"/>
        <w:ind w:left="0" w:right="0" w:hanging="0"/>
        <w:jc w:val="left"/>
        <w:rPr>
          <w:rFonts w:ascii="Times New Roman;Times;serif" w:hAnsi="Times New Roman;Times;serif"/>
          <w:sz w:val="24"/>
        </w:rPr>
      </w:pPr>
      <w:bookmarkStart w:id="50" w:name="_9kR3WTr6GC45CaCincmqE9jy02H"/>
      <w:bookmarkEnd w:id="50"/>
      <w:r>
        <w:rPr>
          <w:rFonts w:ascii="Times New Roman;Times;serif" w:hAnsi="Times New Roman;Times;serif"/>
          <w:sz w:val="24"/>
        </w:rPr>
        <w:t xml:space="preserve">[Name and Address of </w:t>
        <w:br/>
        <w:t xml:space="preserve">Officer or Director </w:t>
        <w:br/>
        <w:t>Requesting Waiver]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Dear Mr./Ms. </w:t>
      </w:r>
      <w:bookmarkStart w:id="51" w:name="_9kR3WTr6GC45DbCin"/>
      <w:bookmarkEnd w:id="51"/>
      <w:r>
        <w:rPr>
          <w:rFonts w:ascii="Times New Roman;Times;serif" w:hAnsi="Times New Roman;Times;serif"/>
          <w:sz w:val="24"/>
        </w:rPr>
        <w:t>[Name]:</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This letter is being delivered to you in connection with the offering by AEON Biopharma, Inc. (the “Company”) of </w:t>
      </w:r>
      <w:bookmarkStart w:id="52" w:name="_9kR3WTr7D847F2o"/>
      <w:bookmarkEnd w:id="52"/>
      <w:r>
        <w:rPr>
          <w:rFonts w:ascii="Times New Roman;Times;serif" w:hAnsi="Times New Roman;Times;serif"/>
          <w:sz w:val="24"/>
        </w:rPr>
        <w:t>______ shares of Class A common stock, $0.0001 par value (the “Common Stock”), of the Company and the lock-up letter dated</w:t>
      </w:r>
      <w:bookmarkStart w:id="53" w:name="_9kR3WTr7D847DpYpuf"/>
      <w:bookmarkEnd w:id="53"/>
      <w:r>
        <w:rPr>
          <w:rFonts w:ascii="Times New Roman;Times;serif" w:hAnsi="Times New Roman;Times;serif"/>
          <w:sz w:val="24"/>
        </w:rPr>
        <w:t xml:space="preserve"> __________________, 20</w:t>
      </w:r>
      <w:bookmarkStart w:id="54" w:name="_9kMHG5YVt9FA69EFC"/>
      <w:bookmarkEnd w:id="54"/>
      <w:r>
        <w:rPr>
          <w:rFonts w:ascii="Times New Roman;Times;serif" w:hAnsi="Times New Roman;Times;serif"/>
          <w:sz w:val="24"/>
        </w:rPr>
        <w:t xml:space="preserve">__ (the “Lock-up Letter”), executed by you in connection with such offering, and your request for a </w:t>
      </w:r>
      <w:bookmarkStart w:id="55" w:name="_9kR3WTr6GC46D9re0xu"/>
      <w:bookmarkEnd w:id="55"/>
      <w:r>
        <w:rPr>
          <w:rFonts w:ascii="Times New Roman;Times;serif" w:hAnsi="Times New Roman;Times;serif"/>
          <w:sz w:val="24"/>
        </w:rPr>
        <w:t xml:space="preserve">[waiver] </w:t>
      </w:r>
      <w:bookmarkStart w:id="56" w:name="_9kR3WTr6GC45F7qlmcrw"/>
      <w:bookmarkEnd w:id="56"/>
      <w:r>
        <w:rPr>
          <w:rFonts w:ascii="Times New Roman;Times;serif" w:hAnsi="Times New Roman;Times;serif"/>
          <w:sz w:val="24"/>
        </w:rPr>
        <w:t>[release] dated</w:t>
      </w:r>
      <w:bookmarkStart w:id="57" w:name="_9kMHG5YVt9FA69Frarwh"/>
      <w:bookmarkEnd w:id="57"/>
      <w:r>
        <w:rPr>
          <w:rFonts w:ascii="Times New Roman;Times;serif" w:hAnsi="Times New Roman;Times;serif"/>
          <w:sz w:val="24"/>
        </w:rPr>
        <w:t xml:space="preserve"> __________________, 20</w:t>
      </w:r>
      <w:bookmarkStart w:id="58" w:name="_9kMIH5YVt9FA69EFC"/>
      <w:bookmarkEnd w:id="58"/>
      <w:r>
        <w:rPr>
          <w:rFonts w:ascii="Times New Roman;Times;serif" w:hAnsi="Times New Roman;Times;serif"/>
          <w:sz w:val="24"/>
        </w:rPr>
        <w:t xml:space="preserve">__, with respect to </w:t>
      </w:r>
      <w:bookmarkStart w:id="59" w:name="_9kR3WTr7D847H92"/>
      <w:bookmarkEnd w:id="59"/>
      <w:r>
        <w:rPr>
          <w:rFonts w:ascii="Times New Roman;Times;serif" w:hAnsi="Times New Roman;Times;serif"/>
          <w:sz w:val="24"/>
        </w:rPr>
        <w:t xml:space="preserve">______ shares of Common Stock (the “Shares”).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Lake Street Capital Markets, LLC hereby agrees to </w:t>
      </w:r>
      <w:bookmarkStart w:id="60" w:name="_9kR3WTr6GC46B7re0x"/>
      <w:bookmarkEnd w:id="60"/>
      <w:r>
        <w:rPr>
          <w:rFonts w:ascii="Times New Roman;Times;serif" w:hAnsi="Times New Roman;Times;serif"/>
          <w:sz w:val="24"/>
        </w:rPr>
        <w:t xml:space="preserve">[waive] </w:t>
      </w:r>
      <w:bookmarkStart w:id="61" w:name="_9kMHG5YVt8IE67H9snoety"/>
      <w:bookmarkEnd w:id="61"/>
      <w:r>
        <w:rPr>
          <w:rFonts w:ascii="Times New Roman;Times;serif" w:hAnsi="Times New Roman;Times;serif"/>
          <w:sz w:val="24"/>
        </w:rPr>
        <w:t xml:space="preserve">[release] the transfer restrictions set forth in the Lock-up Letter, but only with respect to the Shares, effective </w:t>
      </w:r>
      <w:bookmarkStart w:id="62" w:name="_9kR3WTr7D847Ereggeu141"/>
      <w:bookmarkEnd w:id="62"/>
      <w:r>
        <w:rPr>
          <w:rFonts w:ascii="Times New Roman;Times;serif" w:hAnsi="Times New Roman;Times;serif"/>
          <w:sz w:val="24"/>
        </w:rPr>
        <w:t>__________________, 20</w:t>
      </w:r>
      <w:bookmarkStart w:id="63" w:name="_9kMJI5YVt9FA69EFC"/>
      <w:bookmarkEnd w:id="63"/>
      <w:r>
        <w:rPr>
          <w:rFonts w:ascii="Times New Roman;Times;serif" w:hAnsi="Times New Roman;Times;serif"/>
          <w:sz w:val="24"/>
        </w:rPr>
        <w:t xml:space="preserve">__;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such </w:t>
      </w:r>
      <w:bookmarkStart w:id="64" w:name="_9kMHG5YVt8IE68FBtg2zw"/>
      <w:bookmarkEnd w:id="64"/>
      <w:r>
        <w:rPr>
          <w:rFonts w:ascii="Times New Roman;Times;serif" w:hAnsi="Times New Roman;Times;serif"/>
          <w:sz w:val="24"/>
        </w:rPr>
        <w:t xml:space="preserve">[waiver] </w:t>
      </w:r>
      <w:bookmarkStart w:id="65" w:name="_9kMIH5YVt8IE67H9snoety"/>
      <w:bookmarkEnd w:id="65"/>
      <w:r>
        <w:rPr>
          <w:rFonts w:ascii="Times New Roman;Times;serif" w:hAnsi="Times New Roman;Times;serif"/>
          <w:sz w:val="24"/>
        </w:rPr>
        <w:t xml:space="preserve">[release] is conditioned on the Company announcing the impending </w:t>
      </w:r>
      <w:bookmarkStart w:id="66" w:name="_9kMIH5YVt8IE68FBtg2zw"/>
      <w:bookmarkEnd w:id="66"/>
      <w:r>
        <w:rPr>
          <w:rFonts w:ascii="Times New Roman;Times;serif" w:hAnsi="Times New Roman;Times;serif"/>
          <w:sz w:val="24"/>
        </w:rPr>
        <w:t xml:space="preserve">[waiver] </w:t>
      </w:r>
      <w:bookmarkStart w:id="67" w:name="_9kMJI5YVt8IE67H9snoety"/>
      <w:bookmarkEnd w:id="67"/>
      <w:r>
        <w:rPr>
          <w:rFonts w:ascii="Times New Roman;Times;serif" w:hAnsi="Times New Roman;Times;serif"/>
          <w:sz w:val="24"/>
        </w:rPr>
        <w:t xml:space="preserve">[release] by press release through a major news service at least two business days before effectiveness of such </w:t>
      </w:r>
      <w:bookmarkStart w:id="68" w:name="_9kMJI5YVt8IE68FBtg2zw"/>
      <w:bookmarkEnd w:id="68"/>
      <w:r>
        <w:rPr>
          <w:rFonts w:ascii="Times New Roman;Times;serif" w:hAnsi="Times New Roman;Times;serif"/>
          <w:sz w:val="24"/>
        </w:rPr>
        <w:t xml:space="preserve">[waiver] </w:t>
      </w:r>
      <w:bookmarkStart w:id="69" w:name="_9kMKJ5YVt8IE67H9snoety"/>
      <w:bookmarkEnd w:id="69"/>
      <w:r>
        <w:rPr>
          <w:rFonts w:ascii="Times New Roman;Times;serif" w:hAnsi="Times New Roman;Times;serif"/>
          <w:sz w:val="24"/>
        </w:rPr>
        <w:t xml:space="preserve">[release].  This letter will serve as notice to the Company of the impending </w:t>
      </w:r>
      <w:bookmarkStart w:id="70" w:name="_9kMKJ5YVt8IE68FBtg2zw"/>
      <w:bookmarkEnd w:id="70"/>
      <w:r>
        <w:rPr>
          <w:rFonts w:ascii="Times New Roman;Times;serif" w:hAnsi="Times New Roman;Times;serif"/>
          <w:sz w:val="24"/>
        </w:rPr>
        <w:t xml:space="preserve">[waiver] </w:t>
      </w:r>
      <w:bookmarkStart w:id="71" w:name="_9kMLK5YVt8IE67H9snoety"/>
      <w:bookmarkEnd w:id="71"/>
      <w:r>
        <w:rPr>
          <w:rFonts w:ascii="Times New Roman;Times;serif" w:hAnsi="Times New Roman;Times;serif"/>
          <w:sz w:val="24"/>
        </w:rPr>
        <w:t>[release].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Except as expressly </w:t>
      </w:r>
      <w:bookmarkStart w:id="72" w:name="_9kR3WTr6GC46C8re0xg"/>
      <w:bookmarkEnd w:id="72"/>
      <w:r>
        <w:rPr>
          <w:rFonts w:ascii="Times New Roman;Times;serif" w:hAnsi="Times New Roman;Times;serif"/>
          <w:sz w:val="24"/>
        </w:rPr>
        <w:t xml:space="preserve">[waived] </w:t>
      </w:r>
      <w:bookmarkStart w:id="73" w:name="_9kR3WTr6GC467yqlmcrwi"/>
      <w:bookmarkEnd w:id="73"/>
      <w:r>
        <w:rPr>
          <w:rFonts w:ascii="Times New Roman;Times;serif" w:hAnsi="Times New Roman;Times;serif"/>
          <w:sz w:val="24"/>
        </w:rPr>
        <w:t xml:space="preserve">[released] hereby, the Lock-up Letter shall remain in full force and effect. </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Yours very truly,</w:t>
      </w:r>
    </w:p>
    <w:p>
      <w:pPr>
        <w:pStyle w:val="TextBody"/>
        <w:bidi w:val="0"/>
        <w:spacing w:before="240" w:after="0"/>
        <w:ind w:left="4320" w:right="0" w:hanging="0"/>
        <w:jc w:val="left"/>
        <w:rPr>
          <w:rFonts w:ascii="Times New Roman;Times;serif" w:hAnsi="Times New Roman;Times;serif"/>
          <w:sz w:val="24"/>
        </w:rPr>
      </w:pPr>
      <w:r>
        <w:rPr>
          <w:rFonts w:ascii="Times New Roman;Times;serif" w:hAnsi="Times New Roman;Times;serif"/>
          <w:sz w:val="24"/>
        </w:rPr>
        <w:t>LAKE STREET CAPITAL MARKETS, LLC</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4"/>
        </w:rPr>
        <w:t>By:</w:t>
      </w:r>
      <w:r>
        <w:rPr>
          <w:rFonts w:ascii="Times New Roman;Times;serif" w:hAnsi="Times New Roman;Times;serif"/>
          <w:sz w:val="22"/>
          <w:u w:val="single"/>
        </w:rPr>
        <w:t>​ ​​ ​​ ​​ ​</w:t>
      </w:r>
      <w:r>
        <w:rPr>
          <w:rFonts w:ascii="Times New Roman;Times;serif" w:hAnsi="Times New Roman;Times;serif"/>
          <w:sz w:val="24"/>
        </w:rPr>
        <w:br/>
        <w:t>Name:</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Title: </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cc: AEON Biopharma, Inc.</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sz w:val="24"/>
        </w:rPr>
      </w:pPr>
      <w:r>
        <w:rPr>
          <w:rFonts w:ascii="Times New Roman;Times;serif" w:hAnsi="Times New Roman;Times;serif"/>
          <w:sz w:val="24"/>
        </w:rPr>
        <w:t>Exhibit 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Form of Press Release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AEON Biopharma, Inc.</w:t>
      </w:r>
    </w:p>
    <w:p>
      <w:pPr>
        <w:pStyle w:val="TextBody"/>
        <w:bidi w:val="0"/>
        <w:spacing w:before="0" w:after="0"/>
        <w:ind w:left="0" w:right="0" w:hanging="0"/>
        <w:jc w:val="left"/>
        <w:rPr>
          <w:rFonts w:ascii="Times New Roman;Times;serif" w:hAnsi="Times New Roman;Times;serif"/>
          <w:b/>
          <w:sz w:val="24"/>
        </w:rPr>
      </w:pPr>
      <w:bookmarkStart w:id="74" w:name="_9kR3WTr6GC45AO2pu"/>
      <w:bookmarkEnd w:id="74"/>
      <w:r>
        <w:rPr>
          <w:rFonts w:ascii="Times New Roman;Times;serif" w:hAnsi="Times New Roman;Times;serif"/>
          <w:b/>
          <w:sz w:val="24"/>
        </w:rPr>
        <w:t>[Date]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4"/>
        </w:rPr>
        <w:t>AEON Biopharma, Inc.</w:t>
      </w:r>
      <w:r>
        <w:rPr>
          <w:rFonts w:ascii="Times New Roman;Times;serif" w:hAnsi="Times New Roman;Times;serif"/>
          <w:sz w:val="22"/>
        </w:rPr>
        <w:t xml:space="preserve"> </w:t>
      </w:r>
      <w:r>
        <w:rPr>
          <w:rFonts w:ascii="Times New Roman;Times;serif" w:hAnsi="Times New Roman;Times;serif"/>
          <w:sz w:val="24"/>
        </w:rPr>
        <w:t xml:space="preserve">(the “Company”) announced today that Lake Street Capital Markets, LLC, the lead book-running manager in the Company’s recent public sale of shares of common stock, is </w:t>
      </w:r>
      <w:bookmarkStart w:id="75" w:name="_9kR3WTr6GC46EAre01ut"/>
      <w:bookmarkEnd w:id="75"/>
      <w:r>
        <w:rPr>
          <w:rFonts w:ascii="Times New Roman;Times;serif" w:hAnsi="Times New Roman;Times;serif"/>
          <w:sz w:val="24"/>
        </w:rPr>
        <w:t>[waiving]</w:t>
      </w:r>
      <w:r>
        <w:rPr>
          <w:rFonts w:ascii="Times New Roman;Times;serif" w:hAnsi="Times New Roman;Times;serif"/>
          <w:sz w:val="22"/>
        </w:rPr>
        <w:t xml:space="preserve"> </w:t>
      </w:r>
      <w:bookmarkStart w:id="76" w:name="_9kR3WTr6GC468zqlmcr0wv"/>
      <w:bookmarkEnd w:id="76"/>
      <w:r>
        <w:rPr>
          <w:rFonts w:ascii="Times New Roman;Times;serif" w:hAnsi="Times New Roman;Times;serif"/>
          <w:sz w:val="24"/>
        </w:rPr>
        <w:t>[releasing]</w:t>
      </w:r>
      <w:r>
        <w:rPr>
          <w:rFonts w:ascii="Times New Roman;Times;serif" w:hAnsi="Times New Roman;Times;serif"/>
          <w:sz w:val="22"/>
        </w:rPr>
        <w:t xml:space="preserve"> </w:t>
      </w:r>
      <w:r>
        <w:rPr>
          <w:rFonts w:ascii="Times New Roman;Times;serif" w:hAnsi="Times New Roman;Times;serif"/>
          <w:sz w:val="24"/>
        </w:rPr>
        <w:t xml:space="preserve">a lock-up restriction with respect to shares of the Company’s common stock held by </w:t>
      </w:r>
      <w:bookmarkStart w:id="77" w:name="_9kR3WTr6GC459mbr7rhv2vnrpm2HFF"/>
      <w:bookmarkEnd w:id="77"/>
      <w:r>
        <w:rPr>
          <w:rFonts w:ascii="Times New Roman;Times;serif" w:hAnsi="Times New Roman;Times;serif"/>
          <w:sz w:val="24"/>
        </w:rPr>
        <w:t>[certain officers or directors]</w:t>
      </w:r>
      <w:r>
        <w:rPr>
          <w:rFonts w:ascii="Times New Roman;Times;serif" w:hAnsi="Times New Roman;Times;serif"/>
          <w:sz w:val="22"/>
        </w:rPr>
        <w:t xml:space="preserve"> </w:t>
      </w:r>
      <w:bookmarkStart w:id="78" w:name="_9kR3WTr6GC458jixqimkhx89"/>
      <w:bookmarkEnd w:id="78"/>
      <w:r>
        <w:rPr>
          <w:rFonts w:ascii="Times New Roman;Times;serif" w:hAnsi="Times New Roman;Times;serif"/>
          <w:sz w:val="24"/>
        </w:rPr>
        <w:t>[an officer or director]</w:t>
      </w:r>
      <w:r>
        <w:rPr>
          <w:rFonts w:ascii="Times New Roman;Times;serif" w:hAnsi="Times New Roman;Times;serif"/>
          <w:sz w:val="22"/>
        </w:rPr>
        <w:t xml:space="preserve"> </w:t>
      </w:r>
      <w:r>
        <w:rPr>
          <w:rFonts w:ascii="Times New Roman;Times;serif" w:hAnsi="Times New Roman;Times;serif"/>
          <w:sz w:val="24"/>
        </w:rPr>
        <w:t>of the Company</w:t>
      </w:r>
      <w:bookmarkStart w:id="79" w:name="_9kMI1H6ZWu8GD7AD"/>
      <w:bookmarkEnd w:id="79"/>
      <w:r>
        <w:rPr>
          <w:rFonts w:ascii="Times New Roman;Times;serif" w:hAnsi="Times New Roman;Times;serif"/>
          <w:sz w:val="24"/>
        </w:rPr>
        <w:t>.</w:t>
      </w:r>
      <w:r>
        <w:rPr>
          <w:rFonts w:ascii="Times New Roman;Times;serif" w:hAnsi="Times New Roman;Times;serif"/>
          <w:sz w:val="22"/>
        </w:rPr>
        <w:t xml:space="preserve"> </w:t>
      </w:r>
      <w:r>
        <w:rPr>
          <w:rFonts w:ascii="Times New Roman;Times;serif" w:hAnsi="Times New Roman;Times;serif"/>
          <w:sz w:val="24"/>
        </w:rPr>
        <w:t xml:space="preserve">The </w:t>
      </w:r>
      <w:bookmarkStart w:id="80" w:name="_9kMLK5YVt8IE68FBtg2zw"/>
      <w:bookmarkEnd w:id="80"/>
      <w:r>
        <w:rPr>
          <w:rFonts w:ascii="Times New Roman;Times;serif" w:hAnsi="Times New Roman;Times;serif"/>
          <w:sz w:val="24"/>
        </w:rPr>
        <w:t>[waiver]</w:t>
      </w:r>
      <w:r>
        <w:rPr>
          <w:rFonts w:ascii="Times New Roman;Times;serif" w:hAnsi="Times New Roman;Times;serif"/>
          <w:sz w:val="22"/>
        </w:rPr>
        <w:t xml:space="preserve"> </w:t>
      </w:r>
      <w:bookmarkStart w:id="81" w:name="_9kMML5YVt8IE67H9snoety"/>
      <w:bookmarkEnd w:id="81"/>
      <w:r>
        <w:rPr>
          <w:rFonts w:ascii="Times New Roman;Times;serif" w:hAnsi="Times New Roman;Times;serif"/>
          <w:sz w:val="24"/>
        </w:rPr>
        <w:t>[release]</w:t>
      </w:r>
      <w:r>
        <w:rPr>
          <w:rFonts w:ascii="Times New Roman;Times;serif" w:hAnsi="Times New Roman;Times;serif"/>
          <w:sz w:val="22"/>
        </w:rPr>
        <w:t xml:space="preserve"> </w:t>
      </w:r>
      <w:r>
        <w:rPr>
          <w:rFonts w:ascii="Times New Roman;Times;serif" w:hAnsi="Times New Roman;Times;serif"/>
          <w:sz w:val="24"/>
        </w:rPr>
        <w:t xml:space="preserve">will take effect on </w:t>
      </w:r>
      <w:bookmarkStart w:id="82" w:name="_9kR3WTr7D847G3w"/>
      <w:bookmarkEnd w:id="82"/>
      <w:r>
        <w:rPr>
          <w:rFonts w:ascii="Times New Roman;Times;serif" w:hAnsi="Times New Roman;Times;serif"/>
          <w:sz w:val="24"/>
        </w:rPr>
        <w:t>____________________, 20</w:t>
      </w:r>
      <w:bookmarkStart w:id="83" w:name="_9kMKJ5YVt9FA69EFC"/>
      <w:bookmarkEnd w:id="83"/>
      <w:r>
        <w:rPr>
          <w:rFonts w:ascii="Times New Roman;Times;serif" w:hAnsi="Times New Roman;Times;serif"/>
          <w:sz w:val="24"/>
        </w:rPr>
        <w:t xml:space="preserve">__, and the shares may be sold on or after such date.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b/>
          <w:sz w:val="24"/>
        </w:rPr>
        <w:t xml:space="preserve">This press release </w:t>
      </w:r>
      <w:bookmarkStart w:id="84" w:name="1"/>
      <w:bookmarkEnd w:id="84"/>
      <w:r>
        <w:rPr>
          <w:rFonts w:ascii="Times New Roman;Times;serif" w:hAnsi="Times New Roman;Times;serif"/>
          <w:b/>
          <w:sz w:val="24"/>
        </w:rPr>
        <w:t xml:space="preserve">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right"/>
        <w:rPr>
          <w:rFonts w:ascii="Times New Roman;Times;serif" w:hAnsi="Times New Roman;Times;serif"/>
          <w:sz w:val="24"/>
        </w:rPr>
      </w:pPr>
      <w:r>
        <w:rPr>
          <w:rFonts w:ascii="Times New Roman;Times;serif" w:hAnsi="Times New Roman;Times;serif"/>
          <w:sz w:val="24"/>
        </w:rPr>
        <w:t>Exhibit D</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PRE-FUNDED WARRANT</w:t>
      </w:r>
    </w:p>
    <w:p>
      <w:pPr>
        <w:pStyle w:val="TextBody"/>
        <w:bidi w:val="0"/>
        <w:spacing w:before="0" w:after="0"/>
        <w:ind w:left="0" w:right="0" w:hanging="0"/>
        <w:jc w:val="left"/>
        <w:rPr/>
      </w:pPr>
      <w:r>
        <w:rPr/>
        <w:t>​</w:t>
      </w:r>
    </w:p>
    <w:p>
      <w:pPr>
        <w:pStyle w:val="TextBody"/>
        <w:bidi w:val="0"/>
        <w:spacing w:before="0" w:after="0"/>
        <w:ind w:left="0" w:right="0" w:firstLine="49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4"/>
        </w:rPr>
        <w:t>See Exhibit 4.1</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1440" w:right="0" w:hanging="630"/>
        <w:jc w:val="left"/>
        <w:rPr/>
      </w:pPr>
      <w:r>
        <w:rPr/>
        <w:t>​</w:t>
      </w:r>
    </w:p>
    <w:p>
      <w:pPr>
        <w:pStyle w:val="TextBody"/>
        <w:bidi w:val="0"/>
        <w:spacing w:before="0" w:after="0"/>
        <w:ind w:left="0" w:right="0" w:hanging="0"/>
        <w:jc w:val="left"/>
        <w:rPr>
          <w:rFonts w:ascii="Times New Roman;Times;serif" w:hAnsi="Times New Roman;Times;serif"/>
          <w:b/>
          <w:i w:val="false"/>
          <w:caps w:val="false"/>
          <w:smallCaps w:val="false"/>
          <w:sz w:val="22"/>
          <w:shd w:fill="FFFFFF" w:val="clear"/>
        </w:rPr>
      </w:pPr>
      <w:r>
        <w:rPr>
          <w:rFonts w:ascii="Times New Roman;Times;serif" w:hAnsi="Times New Roman;Times;serif"/>
          <w:b/>
          <w:i w:val="false"/>
          <w:caps w:val="false"/>
          <w:smallCaps w:val="false"/>
          <w:sz w:val="22"/>
          <w:shd w:fill="FFFFFF" w:val="clear"/>
        </w:rPr>
        <w:t>EXHIBIT B</w:t>
      </w:r>
      <w:r>
        <mc:AlternateContent>
          <mc:Choice Requires="wps">
            <w:drawing>
              <wp:anchor behindDoc="0" distT="0" distB="0" distL="0" distR="0" simplePos="0" locked="0" layoutInCell="1" allowOverlap="1" relativeHeight="22">
                <wp:simplePos x="0" y="0"/>
                <wp:positionH relativeFrom="page">
                  <wp:posOffset>0</wp:posOffset>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40" w:after="240"/>
        <w:ind w:left="1440" w:right="1440" w:hanging="0"/>
        <w:jc w:val="center"/>
        <w:rPr>
          <w:rFonts w:ascii="Times New Roman;Times;serif" w:hAnsi="Times New Roman;Times;serif"/>
          <w:sz w:val="22"/>
        </w:rPr>
      </w:pPr>
      <w:bookmarkStart w:id="85" w:name="_DV_M161"/>
      <w:bookmarkStart w:id="86" w:name="_DV_M89"/>
      <w:bookmarkEnd w:id="85"/>
      <w:bookmarkEnd w:id="86"/>
      <w:r>
        <w:rPr>
          <w:rFonts w:ascii="Times New Roman;Times;serif" w:hAnsi="Times New Roman;Times;serif"/>
          <w:sz w:val="22"/>
        </w:rPr>
        <w:t>ASSIGNMENT FORM</w:t>
      </w:r>
    </w:p>
    <w:p>
      <w:pPr>
        <w:pStyle w:val="TextBody"/>
        <w:bidi w:val="0"/>
        <w:spacing w:before="0" w:after="240"/>
        <w:ind w:left="0" w:right="0" w:firstLine="210"/>
        <w:jc w:val="left"/>
        <w:rPr>
          <w:rFonts w:ascii="Times New Roman;Times;serif" w:hAnsi="Times New Roman;Times;serif"/>
          <w:i/>
          <w:sz w:val="22"/>
        </w:rPr>
      </w:pPr>
      <w:bookmarkStart w:id="87" w:name="_DV_M162"/>
      <w:bookmarkEnd w:id="87"/>
      <w:r>
        <w:rPr>
          <w:rFonts w:ascii="Times New Roman;Times;serif" w:hAnsi="Times New Roman;Times;serif"/>
          <w:i/>
          <w:sz w:val="22"/>
        </w:rPr>
        <w:t>(To assign the foregoing Warrant, execute this form and supply required information. Do not use this form to purchase shares.)</w:t>
      </w:r>
    </w:p>
    <w:p>
      <w:pPr>
        <w:pStyle w:val="TextBody"/>
        <w:bidi w:val="0"/>
        <w:spacing w:before="0" w:after="240"/>
        <w:ind w:left="0" w:right="0" w:firstLine="210"/>
        <w:jc w:val="left"/>
        <w:rPr>
          <w:rFonts w:ascii="Times New Roman;Times;serif" w:hAnsi="Times New Roman;Times;serif"/>
          <w:sz w:val="22"/>
        </w:rPr>
      </w:pPr>
      <w:bookmarkStart w:id="88" w:name="_DV_M163"/>
      <w:bookmarkEnd w:id="88"/>
      <w:r>
        <w:rPr>
          <w:rFonts w:ascii="Times New Roman;Times;serif" w:hAnsi="Times New Roman;Times;serif"/>
          <w:sz w:val="22"/>
        </w:rPr>
        <w:t>FOR VALUE RECEIVED, the foregoing Warrant and all rights evidenced thereby are hereby assigned to</w:t>
      </w:r>
    </w:p>
    <w:tbl>
      <w:tblPr>
        <w:tblW w:w="8462" w:type="dxa"/>
        <w:jc w:val="left"/>
        <w:tblInd w:w="0" w:type="dxa"/>
        <w:tblLayout w:type="fixed"/>
        <w:tblCellMar>
          <w:top w:w="0" w:type="dxa"/>
          <w:left w:w="0" w:type="dxa"/>
          <w:bottom w:w="0" w:type="dxa"/>
          <w:right w:w="0" w:type="dxa"/>
        </w:tblCellMar>
      </w:tblPr>
      <w:tblGrid>
        <w:gridCol w:w="3751"/>
        <w:gridCol w:w="4711"/>
      </w:tblGrid>
      <w:tr>
        <w:trPr/>
        <w:tc>
          <w:tcPr>
            <w:tcW w:w="3751" w:type="dxa"/>
            <w:tcBorders/>
            <w:vAlign w:val="center"/>
          </w:tcPr>
          <w:p>
            <w:pPr>
              <w:pStyle w:val="TableContents"/>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Name:</w:t>
            </w:r>
          </w:p>
        </w:tc>
        <w:tc>
          <w:tcPr>
            <w:tcW w:w="4711" w:type="dxa"/>
            <w:tcBorders/>
            <w:vAlign w:val="center"/>
          </w:tcPr>
          <w:p>
            <w:pPr>
              <w:pStyle w:val="TableContents"/>
              <w:bidi w:val="0"/>
              <w:spacing w:lineRule="auto" w:line="328" w:before="0" w:after="0"/>
              <w:ind w:left="0" w:right="0" w:hanging="0"/>
              <w:jc w:val="both"/>
              <w:rPr/>
            </w:pPr>
            <w:r>
              <w:rPr>
                <w:u w:val="single"/>
              </w:rPr>
              <w:t>​ ​</w:t>
            </w:r>
            <w:r>
              <w:rPr/>
              <w:t>​</w:t>
            </w:r>
          </w:p>
        </w:tc>
      </w:tr>
      <w:tr>
        <w:trPr/>
        <w:tc>
          <w:tcPr>
            <w:tcW w:w="3751" w:type="dxa"/>
            <w:tcBorders/>
            <w:vAlign w:val="center"/>
          </w:tcPr>
          <w:p>
            <w:pPr>
              <w:pStyle w:val="TableContents"/>
              <w:bidi w:val="0"/>
              <w:spacing w:lineRule="auto" w:line="328" w:before="0" w:after="240"/>
              <w:ind w:left="0" w:right="0" w:hanging="0"/>
              <w:jc w:val="both"/>
              <w:rPr/>
            </w:pPr>
            <w:r>
              <w:rPr/>
              <w:t>​</w:t>
            </w:r>
          </w:p>
        </w:tc>
        <w:tc>
          <w:tcPr>
            <w:tcW w:w="471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(Please Print)</w:t>
            </w:r>
          </w:p>
        </w:tc>
      </w:tr>
      <w:tr>
        <w:trPr/>
        <w:tc>
          <w:tcPr>
            <w:tcW w:w="3751" w:type="dxa"/>
            <w:tcBorders/>
            <w:vAlign w:val="center"/>
          </w:tcPr>
          <w:p>
            <w:pPr>
              <w:pStyle w:val="TableContents"/>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4711" w:type="dxa"/>
            <w:tcBorders/>
            <w:vAlign w:val="center"/>
          </w:tcPr>
          <w:p>
            <w:pPr>
              <w:pStyle w:val="TableContents"/>
              <w:bidi w:val="0"/>
              <w:spacing w:lineRule="auto" w:line="328" w:before="0" w:after="0"/>
              <w:ind w:left="0" w:right="0" w:hanging="0"/>
              <w:jc w:val="both"/>
              <w:rPr/>
            </w:pPr>
            <w:r>
              <w:rPr>
                <w:u w:val="single"/>
              </w:rPr>
              <w:t>​ ​</w:t>
            </w:r>
            <w:r>
              <w:rPr/>
              <w:t>​</w:t>
            </w:r>
          </w:p>
        </w:tc>
      </w:tr>
      <w:tr>
        <w:trPr/>
        <w:tc>
          <w:tcPr>
            <w:tcW w:w="3751" w:type="dxa"/>
            <w:tcBorders/>
            <w:vAlign w:val="center"/>
          </w:tcPr>
          <w:p>
            <w:pPr>
              <w:pStyle w:val="TableContents"/>
              <w:bidi w:val="0"/>
              <w:spacing w:lineRule="auto" w:line="328" w:before="0" w:after="240"/>
              <w:ind w:left="0" w:right="0" w:hanging="0"/>
              <w:jc w:val="both"/>
              <w:rPr/>
            </w:pPr>
            <w:r>
              <w:rPr/>
              <w:t>​</w:t>
            </w:r>
          </w:p>
          <w:p>
            <w:pPr>
              <w:pStyle w:val="TableContents"/>
              <w:bidi w:val="0"/>
              <w:spacing w:lineRule="auto" w:line="328" w:before="0" w:after="240"/>
              <w:ind w:left="0" w:right="0" w:hanging="0"/>
              <w:jc w:val="both"/>
              <w:rPr>
                <w:rFonts w:ascii="Times New Roman;Times;serif" w:hAnsi="Times New Roman;Times;serif"/>
                <w:sz w:val="24"/>
              </w:rPr>
            </w:pPr>
            <w:bookmarkStart w:id="89" w:name="_DV_C128"/>
            <w:bookmarkEnd w:id="89"/>
            <w:r>
              <w:rPr>
                <w:rFonts w:ascii="Times New Roman;Times;serif" w:hAnsi="Times New Roman;Times;serif"/>
                <w:sz w:val="24"/>
              </w:rPr>
              <w:t>Phone Number:</w:t>
            </w:r>
          </w:p>
          <w:p>
            <w:pPr>
              <w:pStyle w:val="TableContents"/>
              <w:bidi w:val="0"/>
              <w:spacing w:lineRule="auto" w:line="328" w:before="0" w:after="240"/>
              <w:ind w:left="0" w:right="0" w:hanging="0"/>
              <w:jc w:val="both"/>
              <w:rPr>
                <w:rFonts w:ascii="Times New Roman;Times;serif" w:hAnsi="Times New Roman;Times;serif"/>
                <w:sz w:val="24"/>
              </w:rPr>
            </w:pPr>
            <w:bookmarkStart w:id="90" w:name="_DV_C129"/>
            <w:bookmarkEnd w:id="90"/>
            <w:r>
              <w:rPr>
                <w:rFonts w:ascii="Times New Roman;Times;serif" w:hAnsi="Times New Roman;Times;serif"/>
                <w:sz w:val="24"/>
              </w:rPr>
              <w:t xml:space="preserve">Email Address: </w:t>
            </w:r>
          </w:p>
        </w:tc>
        <w:tc>
          <w:tcPr>
            <w:tcW w:w="471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(Please Print)</w:t>
            </w:r>
          </w:p>
          <w:p>
            <w:pPr>
              <w:pStyle w:val="TableContents"/>
              <w:bidi w:val="0"/>
              <w:spacing w:lineRule="auto" w:line="328" w:before="0" w:after="240"/>
              <w:ind w:left="0" w:right="0" w:hanging="0"/>
              <w:jc w:val="both"/>
              <w:rPr>
                <w:rFonts w:ascii="Times New Roman;Times;serif" w:hAnsi="Times New Roman;Times;serif"/>
                <w:sz w:val="24"/>
              </w:rPr>
            </w:pPr>
            <w:bookmarkStart w:id="91" w:name="_DV_C130"/>
            <w:bookmarkEnd w:id="91"/>
            <w:r>
              <w:rPr>
                <w:rFonts w:ascii="Times New Roman;Times;serif" w:hAnsi="Times New Roman;Times;serif"/>
                <w:sz w:val="24"/>
              </w:rPr>
              <w:t>______________________________________</w:t>
            </w:r>
          </w:p>
          <w:p>
            <w:pPr>
              <w:pStyle w:val="TableContents"/>
              <w:bidi w:val="0"/>
              <w:spacing w:lineRule="auto" w:line="328" w:before="0" w:after="240"/>
              <w:ind w:left="0" w:right="0" w:hanging="0"/>
              <w:jc w:val="both"/>
              <w:rPr>
                <w:rFonts w:ascii="Times New Roman;Times;serif" w:hAnsi="Times New Roman;Times;serif"/>
                <w:sz w:val="24"/>
              </w:rPr>
            </w:pPr>
            <w:bookmarkStart w:id="92" w:name="_DV_C131"/>
            <w:bookmarkEnd w:id="92"/>
            <w:r>
              <w:rPr>
                <w:rFonts w:ascii="Times New Roman;Times;serif" w:hAnsi="Times New Roman;Times;serif"/>
                <w:sz w:val="24"/>
              </w:rPr>
              <w:t>______________________________________</w:t>
            </w:r>
          </w:p>
        </w:tc>
      </w:tr>
      <w:tr>
        <w:trPr/>
        <w:tc>
          <w:tcPr>
            <w:tcW w:w="375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Dated: _______________ __, ______</w:t>
            </w:r>
          </w:p>
        </w:tc>
        <w:tc>
          <w:tcPr>
            <w:tcW w:w="4711" w:type="dxa"/>
            <w:tcBorders/>
            <w:vAlign w:val="center"/>
          </w:tcPr>
          <w:p>
            <w:pPr>
              <w:pStyle w:val="TableContents"/>
              <w:bidi w:val="0"/>
              <w:spacing w:lineRule="auto" w:line="328" w:before="0" w:after="240"/>
              <w:ind w:left="0" w:right="0" w:hanging="0"/>
              <w:jc w:val="both"/>
              <w:rPr/>
            </w:pPr>
            <w:r>
              <w:rPr/>
              <w:t>​</w:t>
            </w:r>
          </w:p>
        </w:tc>
      </w:tr>
      <w:tr>
        <w:trPr/>
        <w:tc>
          <w:tcPr>
            <w:tcW w:w="3751" w:type="dxa"/>
            <w:tcBorders/>
            <w:vAlign w:val="center"/>
          </w:tcPr>
          <w:p>
            <w:pPr>
              <w:pStyle w:val="TableContents"/>
              <w:bidi w:val="0"/>
              <w:spacing w:lineRule="auto" w:line="328" w:before="0" w:after="240"/>
              <w:ind w:left="0" w:right="0" w:hanging="0"/>
              <w:jc w:val="both"/>
              <w:rPr>
                <w:rFonts w:ascii="Times New Roman;Times;serif" w:hAnsi="Times New Roman;Times;serif"/>
                <w:sz w:val="22"/>
              </w:rPr>
            </w:pPr>
            <w:r>
              <w:rPr>
                <w:rFonts w:ascii="Times New Roman;Times;serif" w:hAnsi="Times New Roman;Times;serif"/>
                <w:sz w:val="24"/>
              </w:rPr>
              <w:t>Holder’s Signature:</w:t>
            </w:r>
            <w:r>
              <w:rPr>
                <w:rFonts w:ascii="Times New Roman;Times;serif" w:hAnsi="Times New Roman;Times;serif"/>
                <w:sz w:val="22"/>
                <w:u w:val="single"/>
              </w:rPr>
              <w:t>​ ​</w:t>
            </w:r>
          </w:p>
        </w:tc>
        <w:tc>
          <w:tcPr>
            <w:tcW w:w="4711" w:type="dxa"/>
            <w:tcBorders/>
            <w:vAlign w:val="center"/>
          </w:tcPr>
          <w:p>
            <w:pPr>
              <w:pStyle w:val="TableContents"/>
              <w:bidi w:val="0"/>
              <w:spacing w:lineRule="auto" w:line="328" w:before="0" w:after="240"/>
              <w:ind w:left="0" w:right="0" w:hanging="0"/>
              <w:jc w:val="both"/>
              <w:rPr/>
            </w:pPr>
            <w:r>
              <w:rPr/>
              <w:t>​</w:t>
            </w:r>
          </w:p>
        </w:tc>
      </w:tr>
      <w:tr>
        <w:trPr/>
        <w:tc>
          <w:tcPr>
            <w:tcW w:w="3751" w:type="dxa"/>
            <w:tcBorders/>
            <w:vAlign w:val="center"/>
          </w:tcPr>
          <w:p>
            <w:pPr>
              <w:pStyle w:val="TableContents"/>
              <w:bidi w:val="0"/>
              <w:spacing w:lineRule="auto" w:line="328" w:before="0" w:after="600"/>
              <w:ind w:left="0" w:right="0" w:hanging="0"/>
              <w:jc w:val="both"/>
              <w:rPr>
                <w:rFonts w:ascii="Times New Roman;Times;serif" w:hAnsi="Times New Roman;Times;serif"/>
                <w:sz w:val="22"/>
              </w:rPr>
            </w:pPr>
            <w:r>
              <w:rPr>
                <w:rFonts w:ascii="Times New Roman;Times;serif" w:hAnsi="Times New Roman;Times;serif"/>
                <w:sz w:val="24"/>
              </w:rPr>
              <w:t>Holder’s Address:</w:t>
            </w:r>
            <w:r>
              <w:rPr>
                <w:rFonts w:ascii="Times New Roman;Times;serif" w:hAnsi="Times New Roman;Times;serif"/>
                <w:sz w:val="22"/>
                <w:u w:val="single"/>
              </w:rPr>
              <w:t>​ ​</w:t>
            </w:r>
          </w:p>
        </w:tc>
        <w:tc>
          <w:tcPr>
            <w:tcW w:w="4711" w:type="dxa"/>
            <w:tcBorders/>
            <w:vAlign w:val="center"/>
          </w:tcPr>
          <w:p>
            <w:pPr>
              <w:pStyle w:val="TableContents"/>
              <w:bidi w:val="0"/>
              <w:spacing w:lineRule="auto" w:line="328" w:before="0" w:after="600"/>
              <w:ind w:left="0" w:right="0" w:hanging="0"/>
              <w:jc w:val="both"/>
              <w:rPr/>
            </w:pPr>
            <w:r>
              <w:rPr/>
              <w:t>​</w:t>
            </w:r>
          </w:p>
        </w:tc>
      </w:tr>
    </w:tbl>
    <w:p>
      <w:pPr>
        <w:pStyle w:val="TextBody"/>
        <w:bidi w:val="0"/>
        <w:spacing w:before="0" w:after="240"/>
        <w:ind w:left="720" w:right="0" w:firstLine="720"/>
        <w:jc w:val="left"/>
        <w:rPr/>
      </w:pPr>
      <w:r>
        <w:rPr/>
        <w:t>​</w:t>
      </w:r>
    </w:p>
    <w:p>
      <w:pPr>
        <w:pStyle w:val="TextBody"/>
        <w:bidi w:val="0"/>
        <w:spacing w:before="0" w:after="240"/>
        <w:ind w:left="0" w:right="0" w:firstLine="720"/>
        <w:jc w:val="right"/>
        <w:rPr/>
      </w:pPr>
      <w:r>
        <w:rPr/>
        <w:t>​</w:t>
      </w:r>
    </w:p>
    <w:p>
      <w:pPr>
        <w:pStyle w:val="TextBody"/>
        <w:bidi w:val="0"/>
        <w:spacing w:before="0" w:after="240"/>
        <w:ind w:left="0" w:right="0" w:firstLine="72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right"/>
        <w:rPr>
          <w:rFonts w:ascii="Times New Roman;Times;serif" w:hAnsi="Times New Roman;Times;serif"/>
          <w:sz w:val="24"/>
        </w:rPr>
      </w:pPr>
      <w:r>
        <w:rPr>
          <w:rFonts w:ascii="Times New Roman;Times;serif" w:hAnsi="Times New Roman;Times;serif"/>
          <w:sz w:val="24"/>
        </w:rPr>
        <w:t>Exhibit E</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FORM OF TWO-YEAR MILESTONE WARRANT</w:t>
      </w:r>
    </w:p>
    <w:p>
      <w:pPr>
        <w:pStyle w:val="TextBody"/>
        <w:bidi w:val="0"/>
        <w:spacing w:before="0" w:after="0"/>
        <w:ind w:left="0" w:right="0" w:hanging="0"/>
        <w:jc w:val="left"/>
        <w:rPr/>
      </w:pPr>
      <w:r>
        <w:rPr/>
        <w:t>​</w:t>
      </w:r>
    </w:p>
    <w:p>
      <w:pPr>
        <w:pStyle w:val="TextBody"/>
        <w:bidi w:val="0"/>
        <w:spacing w:before="0" w:after="0"/>
        <w:ind w:left="0" w:right="0" w:firstLine="49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4"/>
        </w:rPr>
        <w:t>See Exhibit 4.2</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OF PRE-FUNDED WARRANT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[To be Attached] </w:t>
      </w:r>
    </w:p>
    <w:p>
      <w:pPr>
        <w:pStyle w:val="TextBody"/>
        <w:bidi w:val="0"/>
        <w:spacing w:before="0" w:after="0"/>
        <w:ind w:left="0" w:right="0" w:hanging="0"/>
        <w:jc w:val="left"/>
        <w:rPr/>
      </w:pPr>
      <w:r>
        <w:rPr/>
        <w:t>​</w:t>
      </w:r>
    </w:p>
    <w:p>
      <w:pPr>
        <w:pStyle w:val="TextBody"/>
        <w:bidi w:val="0"/>
        <w:spacing w:before="240" w:after="0"/>
        <w:ind w:left="0" w:right="0" w:hanging="0"/>
        <w:jc w:val="center"/>
        <w:rPr/>
      </w:pPr>
      <w:r>
        <w:rPr/>
        <w:t>​</w:t>
      </w:r>
    </w:p>
    <w:p>
      <w:pPr>
        <w:pStyle w:val="TextBody"/>
        <w:bidi w:val="0"/>
        <w:spacing w:before="24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right"/>
        <w:rPr>
          <w:rFonts w:ascii="Times New Roman;Times;serif" w:hAnsi="Times New Roman;Times;serif"/>
          <w:sz w:val="24"/>
        </w:rPr>
      </w:pPr>
      <w:r>
        <w:rPr>
          <w:rFonts w:ascii="Times New Roman;Times;serif" w:hAnsi="Times New Roman;Times;serif"/>
          <w:sz w:val="24"/>
        </w:rPr>
        <w:t>Exhibit F</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FORM OF FIVE-YEAR MILESTONE WARRANT</w:t>
      </w:r>
    </w:p>
    <w:p>
      <w:pPr>
        <w:pStyle w:val="TextBody"/>
        <w:bidi w:val="0"/>
        <w:spacing w:before="0" w:after="0"/>
        <w:ind w:left="0" w:right="0" w:hanging="0"/>
        <w:jc w:val="left"/>
        <w:rPr/>
      </w:pPr>
      <w:r>
        <w:rPr/>
        <w:t>​</w:t>
      </w:r>
    </w:p>
    <w:p>
      <w:pPr>
        <w:pStyle w:val="TextBody"/>
        <w:bidi w:val="0"/>
        <w:spacing w:before="0" w:after="0"/>
        <w:ind w:left="0" w:right="0" w:firstLine="49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4"/>
        </w:rPr>
        <w:t>See Exhibit 4.3</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1.1</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FORM OF PRE-FUNDED WARRANT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[To be Attached] </w:t>
      </w:r>
    </w:p>
    <w:p>
      <w:pPr>
        <w:pStyle w:val="TextBody"/>
        <w:bidi w:val="0"/>
        <w:spacing w:before="0" w:after="0"/>
        <w:ind w:left="0" w:right="0" w:hanging="0"/>
        <w:jc w:val="left"/>
        <w:rPr/>
      </w:pPr>
      <w:r>
        <w:rPr/>
        <w:t>​</w:t>
      </w:r>
    </w:p>
    <w:p>
      <w:pPr>
        <w:pStyle w:val="TextBody"/>
        <w:bidi w:val="0"/>
        <w:spacing w:before="240" w:after="0"/>
        <w:ind w:left="0" w:right="0" w:hanging="0"/>
        <w:jc w:val="center"/>
        <w:rPr/>
      </w:pPr>
      <w:r>
        <w:rPr/>
        <w:t>​</w:t>
      </w:r>
    </w:p>
    <w:p>
      <w:pPr>
        <w:pStyle w:val="TextBody"/>
        <w:bidi w:val="0"/>
        <w:spacing w:before="240" w:after="0"/>
        <w:ind w:left="0" w:right="0" w:hanging="0"/>
        <w:jc w:val="center"/>
        <w:rPr/>
      </w:pPr>
      <w:r>
        <w:rPr/>
        <w:t>​</w:t>
      </w:r>
    </w:p>
    <w:p>
      <w:pPr>
        <w:pStyle w:val="TextBody"/>
        <w:bidi w:val="0"/>
        <w:spacing w:before="0" w:after="240"/>
        <w:ind w:left="0" w:right="0" w:firstLine="720"/>
        <w:jc w:val="right"/>
        <w:rPr/>
      </w:pPr>
      <w:r>
        <w:rPr/>
        <w:t>​</w:t>
      </w:r>
    </w:p>
    <w:p>
      <w:pPr>
        <w:pStyle w:val="TextBody"/>
        <w:bidi w:val="0"/>
        <w:spacing w:before="0" w:after="240"/>
        <w:ind w:left="0" w:right="0" w:firstLine="72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right"/>
        <w:rPr>
          <w:rFonts w:ascii="Times New Roman;Times;serif" w:hAnsi="Times New Roman;Times;serif"/>
          <w:sz w:val="24"/>
        </w:rPr>
      </w:pPr>
      <w:r>
        <w:rPr>
          <w:rFonts w:ascii="Times New Roman;Times;serif" w:hAnsi="Times New Roman;Times;serif"/>
          <w:sz w:val="24"/>
        </w:rPr>
        <w:t>Exhibit G</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FORM OF LOCK-UP AGREEMENT</w:t>
      </w:r>
    </w:p>
    <w:p>
      <w:pPr>
        <w:pStyle w:val="TextBody"/>
        <w:bidi w:val="0"/>
        <w:spacing w:before="0" w:after="0"/>
        <w:ind w:left="0" w:right="0" w:hanging="0"/>
        <w:jc w:val="left"/>
        <w:rPr/>
      </w:pPr>
      <w:r>
        <w:rPr/>
        <w:t>​</w:t>
      </w:r>
    </w:p>
    <w:p>
      <w:pPr>
        <w:pStyle w:val="TextBody"/>
        <w:bidi w:val="0"/>
        <w:spacing w:before="0" w:after="0"/>
        <w:ind w:left="0" w:right="0" w:firstLine="49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4"/>
        </w:rPr>
        <w:t>See attached</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OF LOCK-UP AGREEMENT</w:t>
      </w:r>
    </w:p>
    <w:p>
      <w:pPr>
        <w:pStyle w:val="TextBody"/>
        <w:bidi w:val="0"/>
        <w:spacing w:before="240" w:after="0"/>
        <w:ind w:left="0" w:right="0" w:hanging="0"/>
        <w:jc w:val="right"/>
        <w:rPr>
          <w:rFonts w:ascii="Times New Roman;Times;serif" w:hAnsi="Times New Roman;Times;serif"/>
          <w:sz w:val="20"/>
        </w:rPr>
      </w:pPr>
      <w:r>
        <w:rPr>
          <w:rFonts w:ascii="Times New Roman;Times;serif" w:hAnsi="Times New Roman;Times;serif"/>
          <w:sz w:val="20"/>
        </w:rPr>
        <w:t xml:space="preserve">, 2026 </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Lake Street Capital Markets,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representative of the several Underwriters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 South 8</w:t>
      </w:r>
      <w:r>
        <w:rPr>
          <w:rFonts w:ascii="Times New Roman;Times;serif" w:hAnsi="Times New Roman;Times;serif"/>
          <w:sz w:val="15"/>
        </w:rPr>
        <w:t>th</w:t>
      </w:r>
      <w:r>
        <w:rPr>
          <w:rFonts w:ascii="Times New Roman;Times;serif" w:hAnsi="Times New Roman;Times;serif"/>
          <w:sz w:val="20"/>
        </w:rPr>
        <w:t xml:space="preserve"> Street, Ste. 1000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Minneapolis, MN 55402</w:t>
      </w:r>
    </w:p>
    <w:p>
      <w:pPr>
        <w:pStyle w:val="TextBody"/>
        <w:bidi w:val="0"/>
        <w:spacing w:before="0" w:after="0"/>
        <w:ind w:left="0" w:right="0" w:hanging="0"/>
        <w:jc w:val="left"/>
        <w:rPr/>
      </w:pPr>
      <w:r>
        <w:rPr/>
        <w:t>​</w:t>
      </w:r>
    </w:p>
    <w:tbl>
      <w:tblPr>
        <w:tblW w:w="3947" w:type="dxa"/>
        <w:jc w:val="left"/>
        <w:tblInd w:w="0" w:type="dxa"/>
        <w:tblLayout w:type="fixed"/>
        <w:tblCellMar>
          <w:top w:w="0" w:type="dxa"/>
          <w:left w:w="0" w:type="dxa"/>
          <w:bottom w:w="0" w:type="dxa"/>
          <w:right w:w="0" w:type="dxa"/>
        </w:tblCellMar>
      </w:tblPr>
      <w:tblGrid>
        <w:gridCol w:w="406"/>
        <w:gridCol w:w="3541"/>
      </w:tblGrid>
      <w:tr>
        <w:trPr/>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w:t>
            </w:r>
          </w:p>
        </w:tc>
        <w:tc>
          <w:tcPr>
            <w:tcW w:w="35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AEON Biopharma, Inc. —Public Offering </w:t>
            </w:r>
          </w:p>
        </w:tc>
      </w:tr>
    </w:tbl>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Ladies and Gentlemen: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The undersigned understands that you, as representative (the “Representative”) of the underwriters (the “Underwriters”), propose to enter into an underwriting agreement (the “Underwriting Agreement”) with AEON Biopharma, Inc., a Delaware corporation (the “Company”), providing for the public offering (the “Public Offering”) by the Underwriters, of shares of Class A common stock, par value $0.0001 per share (the “Common Stock”), of the Company and/or pre-funded warrants in lieu thereof, and which may also include the public offering of warrants to purchase Common Stock (together, the “Securities”). Capitalized terms used herein and not otherwise defined shall have the meanings set forth in the Underwriting Agreement.</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the Representative, the undersigned will not, and will not cause any direct or indirect affiliate to, during the period beginning on the date hereof and ending at the close of business 90 days after the closing of the Public Offering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During the Restricted Period,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the undersigned has furnished the Representative with the details of any transaction the undersigned, or any of the undersigned’s affiliates, is a party to as of the date hereof, which transaction would have been restricted by this agreement (this “Lock-Up Agreement”) if it had been entered into by the undersigned during the Restricted Period. </w:t>
      </w:r>
      <w:bookmarkStart w:id="93" w:name="_cp_change_43"/>
      <w:bookmarkEnd w:id="93"/>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Notwithstanding the foregoing, the undersigned may: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(a) transfer or dispose of the undersigned’s Lock-Up Securities: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(i) as a bona fide gift or gifts, or for bona fide estate planning purposes,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(ii) by will or intestacy,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102"/>
        <w:jc w:val="both"/>
        <w:rPr>
          <w:rFonts w:ascii="Times New Roman;Times;serif" w:hAnsi="Times New Roman;Times;serif"/>
          <w:sz w:val="20"/>
        </w:rPr>
      </w:pPr>
      <w:r>
        <w:rPr>
          <w:rFonts w:ascii="Times New Roman;Times;serif" w:hAnsi="Times New Roman;Times;serif"/>
          <w:sz w:val="20"/>
        </w:rPr>
        <w:t xml:space="preserve">(iii) to any (A) immediate family of the undersigned or (B) trust for the direct or indirect benefit of the undersigned or the immediate family of the undersigned, or if the undersigned is a trust, to a trustor or beneficiary of the trust or to the estate of a beneficiary of such trust (for purposes of this Lock-Up Agreement, “immediate family” shall mean any relationship by blood, current or former marriage, domestic partnership or adoption, not more remote than first cousin),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(iv) to a corporation, partnership, limited liability company or other entity of which the undersigned or the immediate family of the undersigned are the legal and beneficial owner of all of the outstanding equity securities or similar interests,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(v) to a nominee or custodian of a person or entity to whom a disposition or transfer would be permissible under clauses (i) through (iv) above,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equityholders of the undersigned,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(vii) by operation of law, such as pursuant to a qualified domestic order, divorce settlement, divorce decree or separation agreement, or related court order,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(viii) to the Company from an employee of the Company upon death, disability or termination of employment, in each case, of such employee,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 xml:space="preserve">(ix) as part of a sale of the undersigned’s Lock-Up Securities acquired in the Public Offering and any transaction with respect to shares of Common Stock acquired in open market transactions after the completion of the Public Offering, </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(x) to the Company in connection with the vesting, settlement, or exercise of restricted stock, restricted stock units, performance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restricted stock units, performance units, options, warrants or rights, provided that any such shares of Common Stock received upon such exercise, vesting or settlement (other than such shares as are transferred or surrendered to the Company in connection with such vesting, settlement or exercise event) shall be subject to the terms of this Lock-Up Agreement, and provided further that any such restricted stock, restricted stock units, performance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pStyle w:val="TextBody"/>
        <w:bidi w:val="0"/>
        <w:spacing w:before="240" w:after="0"/>
        <w:ind w:left="0" w:right="0" w:firstLine="1102"/>
        <w:jc w:val="both"/>
        <w:rPr>
          <w:rFonts w:ascii="Times New Roman;Times;serif" w:hAnsi="Times New Roman;Times;serif"/>
          <w:sz w:val="20"/>
        </w:rPr>
      </w:pPr>
      <w:r>
        <w:rPr>
          <w:rFonts w:ascii="Times New Roman;Times;serif" w:hAnsi="Times New Roman;Times;serif"/>
          <w:sz w:val="20"/>
        </w:rPr>
        <w:t>(xi)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(other than the Underwriters pursuant to the Public Offering), of shares of capital stock if, after such transfer, such person or group of affiliated persons would hold more than 50%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080"/>
        <w:jc w:val="both"/>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that (A) in the case of any transfer or distribution pursuant to clauses (a)(i), (ii), (iii), (iv), (v) and (vi), such transfer shall not involve a disposition for value, (B) in the case of any transfer or distribution pursuant to clauses (a)(i), (ii), (iii), (iv), (v), (vi) and (vii), each donee, devisee, transferee or distributee shall execute and deliver to the Representative a lock-up letter in the form of this Lock-Up Agreement, (C) in the case of any transfer or distribution pursuant to clause (a)(ii), (iii), (iv), (v), and (vi), no filing by any party (donor, donee, devisee, transferor, transferee, distributer or distributee) under the Securities Exchange Act of 1934, as amended (the “Exchange Act”), or other public announcement reporting a reduction in beneficial ownership of shares of Common Stock shall be required or shall be made voluntarily in connection with such transfer or distribution (other than a filing on a Form 5 made after the expiration of the Restricted Period referred to above) and (D) in the case of any transfer or distribution pursuant to clauses (a)(i), (vii), (viii), (ix)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the nature and conditions of such transfer in the footnotes thereto or by transaction code;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(b) exercise outstanding options or warrants, or settle restricted stock, restricted stock units, performance units or other equity awards pursuant to plans described in the Registration Statement, the Pricing Disclosure Package and the Prospectus; provided that any Lock-up Securities received upon such exercise, vesting or settlement shall be subject to the terms of this Lock-Up Agreement; </w:t>
      </w:r>
      <w:r>
        <w:rPr>
          <w:rFonts w:ascii="Times New Roman;Times;serif" w:hAnsi="Times New Roman;Times;serif"/>
          <w:sz w:val="20"/>
          <w:u w:val="single"/>
        </w:rPr>
        <w:t>provided</w:t>
      </w:r>
      <w:r>
        <w:rPr>
          <w:rFonts w:ascii="Times New Roman;Times;serif" w:hAnsi="Times New Roman;Times;serif"/>
          <w:sz w:val="20"/>
        </w:rPr>
        <w:t xml:space="preserve"> that if the undersigned is required to make any filing under Section 16(a) of the Exchange Act, or other public filing, report or announcement during the Restricted Period, the undersigned shall clearly indicate that the filing relates to the circumstances described in this clause by footnotes thereto or transaction code and that the shares of Common Stock received upon the exercise, vesting or settlement, as applicable, are subject to this Lock-Up Agreement, and no public filing, report or announcement shall be voluntarily made;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(c) convert outstanding preferred stock into shares of Common Stock; provided that any such shares of Common Stock received upon such conversion shall be subject to the terms of this Lock-Up Agreement; and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(d) establish trading plans pursuant to Rule 10b5-1 under the Exchange Act for the transfer of shares of Lock-Up Securities (each such plan, a “Trading Plan”); provided that (1) such Trading Plans do not provide for the transfer of Lock-Up Securities during the Restricted Period and (2) no filing by any party under the Exchange Act or other public announcement shall be made voluntarily during the Restricted Period in connection with such trading plan and if any such filing or public announcement shall be legally required during the Restricted Period, such filing or public announcement shall clearly indicate therein that none of the securities subject to such plan may be transferred, sold or otherwise disposed of pursuant to such plan until after expiration of the Restricted Period.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pStyle w:val="TextBody"/>
        <w:bidi w:val="0"/>
        <w:spacing w:before="240" w:after="0"/>
        <w:ind w:left="0" w:right="0" w:firstLine="490"/>
        <w:jc w:val="both"/>
        <w:rPr>
          <w:rFonts w:ascii="Times New Roman;Times;serif" w:hAnsi="Times New Roman;Times;serif"/>
          <w:sz w:val="20"/>
        </w:rPr>
      </w:pPr>
      <w:bookmarkStart w:id="94" w:name="_cp_change_66"/>
      <w:bookmarkStart w:id="95" w:name="_cp_change_64"/>
      <w:bookmarkEnd w:id="94"/>
      <w:bookmarkEnd w:id="95"/>
      <w:r>
        <w:rPr>
          <w:rFonts w:ascii="Times New Roman;Times;serif" w:hAnsi="Times New Roman;Times;serif"/>
          <w:sz w:val="20"/>
        </w:rPr>
        <w:t>If the undersigned is an officer or director of the Company, (i) the Representative agrees that, at least three business days before the effective date of any release or waiver of the foregoing restrictions in connection with a transfer of shares of Lock-Up Securities, the Representative will notify the Company of the impending release or waiver, and (ii) the Company has agreed in the Underwriting Agreement to announce the impending release or waiver through a major news service at least two business days before the effective date of the release or waiver. Any release or waiver granted by the Representative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Lock-Up Agreement to the extent and for the duration that such terms remain in effect at the time of the transfer.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its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enter into this Lock-Up Agreement and nothing set forth in such disclosures is intended to suggest that the Underwriters are making such a recommendation.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undersigned understands that, (i) if the Underwriting Agreement does not become effective by September 30, 2026, (ii) if the Underwriting Agreement (other than the provisions thereof which survive termination) shall terminate or be terminated prior to payment for and delivery of the Common Stock to be sold thereunder, (iii) the Company notifies the Representative, or the Representative notifies the Company, in writing prior to the execution of the Underwriting Agreement that it does not intend to proceed with the Public Offering, or (iv) prior to payment for the Securities, the Registration Statement is withdrawn prior to the execution of the Underwriting Agreement, then, in each case, this Lock-Up Agreement shall automatically terminate and be of no further force or effect and undersigned shall be released from all obligations under this Lock-Up Agreement, without any further action of any party hereto. The undersigned understands that the Underwriters are entering into the Underwriting Agreement and proceeding with the Public Offering in reliance upon this Lock-Up Agreement.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(including any electronic signature complying with the U.S. federal ESIGN Act of 2000, </w:t>
      </w:r>
      <w:r>
        <w:rPr>
          <w:rFonts w:ascii="Times New Roman;Times;serif" w:hAnsi="Times New Roman;Times;serif"/>
          <w:i/>
          <w:sz w:val="20"/>
        </w:rPr>
        <w:t>e.g.</w:t>
      </w:r>
      <w:r>
        <w:rPr>
          <w:rFonts w:ascii="Times New Roman;Times;serif" w:hAnsi="Times New Roman;Times;serif"/>
          <w:sz w:val="20"/>
        </w:rPr>
        <w:t xml:space="preserve">, www.docusign.com)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 </w:t>
      </w:r>
    </w:p>
    <w:p>
      <w:pPr>
        <w:pStyle w:val="TextBody"/>
        <w:bidi w:val="0"/>
        <w:spacing w:before="240" w:after="0"/>
        <w:ind w:left="0" w:right="0" w:firstLine="490"/>
        <w:jc w:val="both"/>
        <w:rPr>
          <w:rFonts w:ascii="Times New Roman;Times;serif" w:hAnsi="Times New Roman;Times;serif"/>
          <w:sz w:val="20"/>
        </w:rPr>
      </w:pPr>
      <w:r>
        <w:rPr>
          <w:rFonts w:ascii="Times New Roman;Times;serif" w:hAnsi="Times New Roman;Times;serif"/>
          <w:sz w:val="20"/>
        </w:rPr>
        <w:t xml:space="preserve">This Lock-Up Agreement and any claim, controversy or dispute arising under or related to this Lock-Up Agreement shall be governed by and construed in accordance with the laws of the State of New York. </w:t>
      </w:r>
    </w:p>
    <w:p>
      <w:pPr>
        <w:pStyle w:val="TextBody"/>
        <w:bidi w:val="0"/>
        <w:spacing w:before="0" w:after="0"/>
        <w:ind w:left="0" w:right="0" w:firstLine="490"/>
        <w:jc w:val="left"/>
        <w:rPr/>
      </w:pPr>
      <w:r>
        <w:rPr/>
        <w:t>​</w:t>
      </w:r>
    </w:p>
    <w:p>
      <w:pPr>
        <w:pStyle w:val="TextBody"/>
        <w:bidi w:val="0"/>
        <w:spacing w:before="240" w:after="0"/>
        <w:ind w:left="0" w:right="0" w:hanging="0"/>
        <w:jc w:val="center"/>
        <w:rPr>
          <w:rFonts w:ascii="Times New Roman;Times;serif" w:hAnsi="Times New Roman;Times;serif"/>
          <w:i/>
          <w:sz w:val="20"/>
        </w:rPr>
      </w:pPr>
      <w:r>
        <w:rPr>
          <w:rFonts w:ascii="Times New Roman;Times;serif" w:hAnsi="Times New Roman;Times;serif"/>
          <w:i/>
          <w:sz w:val="20"/>
        </w:rPr>
        <w:t xml:space="preserve">[Signature page follows]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Lock-up Agreement]</w:t>
      </w:r>
    </w:p>
    <w:tbl>
      <w:tblPr>
        <w:tblW w:w="7800" w:type="dxa"/>
        <w:jc w:val="right"/>
        <w:tblInd w:w="0" w:type="dxa"/>
        <w:tblLayout w:type="fixed"/>
        <w:tblCellMar>
          <w:top w:w="0" w:type="dxa"/>
          <w:left w:w="0" w:type="dxa"/>
          <w:bottom w:w="0" w:type="dxa"/>
          <w:right w:w="0" w:type="dxa"/>
        </w:tblCellMar>
      </w:tblPr>
      <w:tblGrid>
        <w:gridCol w:w="2248"/>
        <w:gridCol w:w="581"/>
        <w:gridCol w:w="4971"/>
      </w:tblGrid>
      <w:tr>
        <w:trPr/>
        <w:tc>
          <w:tcPr>
            <w:tcW w:w="2248" w:type="dxa"/>
            <w:tcBorders/>
            <w:vAlign w:val="center"/>
          </w:tcPr>
          <w:p>
            <w:pPr>
              <w:pStyle w:val="TableContents"/>
              <w:bidi w:val="0"/>
              <w:spacing w:before="0" w:after="283"/>
              <w:ind w:left="0" w:right="0" w:hanging="0"/>
              <w:jc w:val="left"/>
              <w:rPr>
                <w:sz w:val="4"/>
                <w:szCs w:val="4"/>
              </w:rPr>
            </w:pPr>
            <w:r>
              <w:rPr>
                <w:sz w:val="4"/>
                <w:szCs w:val="4"/>
              </w:rPr>
            </w:r>
          </w:p>
        </w:tc>
        <w:tc>
          <w:tcPr>
            <w:tcW w:w="581" w:type="dxa"/>
            <w:tcBorders/>
            <w:vAlign w:val="center"/>
          </w:tcPr>
          <w:p>
            <w:pPr>
              <w:pStyle w:val="TableContents"/>
              <w:bidi w:val="0"/>
              <w:spacing w:before="0" w:after="283"/>
              <w:ind w:left="0" w:right="0" w:hanging="0"/>
              <w:jc w:val="left"/>
              <w:rPr>
                <w:sz w:val="4"/>
                <w:szCs w:val="4"/>
              </w:rPr>
            </w:pPr>
            <w:r>
              <w:rPr>
                <w:sz w:val="4"/>
                <w:szCs w:val="4"/>
              </w:rPr>
            </w:r>
          </w:p>
        </w:tc>
        <w:tc>
          <w:tcPr>
            <w:tcW w:w="49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of Security Holder </w:t>
            </w:r>
            <w:r>
              <w:rPr>
                <w:rFonts w:ascii="Times New Roman;Times;serif" w:hAnsi="Times New Roman;Times;serif"/>
                <w:i/>
                <w:sz w:val="20"/>
              </w:rPr>
              <w:t>(Print exact name)</w:t>
            </w:r>
          </w:p>
        </w:tc>
      </w:tr>
      <w:tr>
        <w:trPr/>
        <w:tc>
          <w:tcPr>
            <w:tcW w:w="2248" w:type="dxa"/>
            <w:tcBorders/>
            <w:vAlign w:val="center"/>
          </w:tcPr>
          <w:p>
            <w:pPr>
              <w:pStyle w:val="TableContents"/>
              <w:bidi w:val="0"/>
              <w:spacing w:before="0" w:after="283"/>
              <w:ind w:left="0" w:right="0" w:hanging="0"/>
              <w:jc w:val="left"/>
              <w:rPr>
                <w:sz w:val="4"/>
                <w:szCs w:val="4"/>
              </w:rPr>
            </w:pPr>
            <w:r>
              <w:rPr>
                <w:sz w:val="4"/>
                <w:szCs w:val="4"/>
              </w:rPr>
            </w:r>
          </w:p>
        </w:tc>
        <w:tc>
          <w:tcPr>
            <w:tcW w:w="555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81" w:type="dxa"/>
            <w:tcBorders/>
            <w:vAlign w:val="center"/>
          </w:tcPr>
          <w:p>
            <w:pPr>
              <w:pStyle w:val="TableContents"/>
              <w:bidi w:val="0"/>
              <w:spacing w:before="0" w:after="283"/>
              <w:ind w:left="0" w:right="0" w:hanging="0"/>
              <w:jc w:val="left"/>
              <w:rPr>
                <w:sz w:val="4"/>
                <w:szCs w:val="4"/>
              </w:rPr>
            </w:pPr>
            <w:r>
              <w:rPr>
                <w:sz w:val="4"/>
                <w:szCs w:val="4"/>
              </w:rPr>
            </w:r>
          </w:p>
        </w:tc>
        <w:tc>
          <w:tcPr>
            <w:tcW w:w="4971" w:type="dxa"/>
            <w:tcBorders/>
            <w:vAlign w:val="center"/>
          </w:tcPr>
          <w:p>
            <w:pPr>
              <w:pStyle w:val="TableContents"/>
              <w:bidi w:val="0"/>
              <w:spacing w:before="0" w:after="283"/>
              <w:ind w:left="0" w:right="0" w:hanging="0"/>
              <w:jc w:val="left"/>
              <w:rPr>
                <w:sz w:val="4"/>
                <w:szCs w:val="4"/>
              </w:rPr>
            </w:pPr>
            <w:r>
              <w:rPr>
                <w:sz w:val="4"/>
                <w:szCs w:val="4"/>
              </w:rPr>
            </w:r>
          </w:p>
        </w:tc>
      </w:tr>
      <w:tr>
        <w:trPr/>
        <w:tc>
          <w:tcPr>
            <w:tcW w:w="2248" w:type="dxa"/>
            <w:tcBorders/>
            <w:vAlign w:val="center"/>
          </w:tcPr>
          <w:p>
            <w:pPr>
              <w:pStyle w:val="TableContents"/>
              <w:bidi w:val="0"/>
              <w:spacing w:before="0" w:after="283"/>
              <w:ind w:left="0" w:right="0" w:hanging="0"/>
              <w:jc w:val="left"/>
              <w:rPr>
                <w:sz w:val="4"/>
                <w:szCs w:val="4"/>
              </w:rPr>
            </w:pPr>
            <w:r>
              <w:rPr>
                <w:sz w:val="4"/>
                <w:szCs w:val="4"/>
              </w:rPr>
            </w:r>
          </w:p>
        </w:tc>
        <w:tc>
          <w:tcPr>
            <w:tcW w:w="581" w:type="dxa"/>
            <w:tcBorders/>
            <w:vAlign w:val="center"/>
          </w:tcPr>
          <w:p>
            <w:pPr>
              <w:pStyle w:val="TableContents"/>
              <w:bidi w:val="0"/>
              <w:spacing w:before="0" w:after="283"/>
              <w:ind w:left="0" w:right="0" w:hanging="0"/>
              <w:jc w:val="left"/>
              <w:rPr>
                <w:sz w:val="4"/>
                <w:szCs w:val="4"/>
              </w:rPr>
            </w:pPr>
            <w:r>
              <w:rPr>
                <w:sz w:val="4"/>
                <w:szCs w:val="4"/>
              </w:rPr>
            </w:r>
          </w:p>
        </w:tc>
        <w:tc>
          <w:tcPr>
            <w:tcW w:w="4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not signing in an individual capacity:</w:t>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of Authorized Signatory </w:t>
            </w:r>
            <w:r>
              <w:rPr>
                <w:rFonts w:ascii="Times New Roman;Times;serif" w:hAnsi="Times New Roman;Times;serif"/>
                <w:i/>
                <w:sz w:val="20"/>
              </w:rPr>
              <w:t>(Print)</w:t>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of Authorized Signatory </w:t>
            </w:r>
            <w:r>
              <w:rPr>
                <w:rFonts w:ascii="Times New Roman;Times;serif" w:hAnsi="Times New Roman;Times;serif"/>
                <w:i/>
                <w:sz w:val="20"/>
              </w:rPr>
              <w:t>(Print)</w:t>
            </w:r>
          </w:p>
        </w:tc>
      </w:tr>
      <w:tr>
        <w:trPr/>
        <w:tc>
          <w:tcPr>
            <w:tcW w:w="780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800" w:type="dxa"/>
            <w:gridSpan w:val="3"/>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(indicate capacity of person signing if signing as custodian, trustee, or on behalf of an entity)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4"/>
        </w:rPr>
      </w:pPr>
      <w:bookmarkStart w:id="96" w:name="aeon-20260713xex4d1.htm"/>
      <w:bookmarkStart w:id="97" w:name="ksaeon20260713xex4d1"/>
      <w:bookmarkEnd w:id="96"/>
      <w:bookmarkEnd w:id="97"/>
      <w:r>
        <w:rPr>
          <w:rFonts w:ascii="Times New Roman;Times;serif" w:hAnsi="Times New Roman;Times;serif"/>
          <w:sz w:val="24"/>
        </w:rPr>
        <w:t>Exhibit 4.1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PRE-FUNDED COMMON STOCK PURCHASE WARRANT</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AEON BIOPHARMA, INC.</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Warrant Shares: _______Initial Exercise Date: __, 2026</w:t>
      </w:r>
    </w:p>
    <w:p>
      <w:pPr>
        <w:pStyle w:val="TextBody"/>
        <w:bidi w:val="0"/>
        <w:spacing w:before="0" w:after="240"/>
        <w:ind w:left="5040" w:right="0" w:hanging="0"/>
        <w:jc w:val="left"/>
        <w:rPr>
          <w:caps/>
        </w:rPr>
      </w:pPr>
      <w:r>
        <w:rPr>
          <w:caps/>
        </w:rPr>
        <w: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THIS COMMON STOCK PURCHASE WARRANT (the “</w:t>
      </w:r>
      <w:r>
        <w:rPr>
          <w:rFonts w:ascii="Times New Roman;Times;serif" w:hAnsi="Times New Roman;Times;serif"/>
          <w:sz w:val="24"/>
          <w:u w:val="single"/>
        </w:rPr>
        <w:t>Warrant</w:t>
      </w:r>
      <w:r>
        <w:rPr>
          <w:rFonts w:ascii="Times New Roman;Times;serif" w:hAnsi="Times New Roman;Times;serif"/>
          <w:sz w:val="24"/>
        </w:rPr>
        <w:t>”) certifies that, for value received, _____________ or its assigns (the “</w:t>
      </w:r>
      <w:r>
        <w:rPr>
          <w:rFonts w:ascii="Times New Roman;Times;serif" w:hAnsi="Times New Roman;Times;serif"/>
          <w:sz w:val="24"/>
          <w:u w:val="single"/>
        </w:rPr>
        <w:t>Holder</w:t>
      </w:r>
      <w:r>
        <w:rPr>
          <w:rFonts w:ascii="Times New Roman;Times;serif" w:hAnsi="Times New Roman;Times;serif"/>
          <w:sz w:val="24"/>
        </w:rPr>
        <w:t>”) is entitled, upon the terms and subject to the limitations on exercise and the conditions hereinafter set forth, at any time on or after the date hereof (the “</w:t>
      </w:r>
      <w:r>
        <w:rPr>
          <w:rFonts w:ascii="Times New Roman;Times;serif" w:hAnsi="Times New Roman;Times;serif"/>
          <w:sz w:val="24"/>
          <w:u w:val="single"/>
        </w:rPr>
        <w:t>Initial Exercise Date</w:t>
      </w:r>
      <w:r>
        <w:rPr>
          <w:rFonts w:ascii="Times New Roman;Times;serif" w:hAnsi="Times New Roman;Times;serif"/>
          <w:sz w:val="24"/>
        </w:rPr>
        <w:t>”) until this Warrant is exercised in full (the “</w:t>
      </w:r>
      <w:r>
        <w:rPr>
          <w:rFonts w:ascii="Times New Roman;Times;serif" w:hAnsi="Times New Roman;Times;serif"/>
          <w:sz w:val="24"/>
          <w:u w:val="single"/>
        </w:rPr>
        <w:t>Termination Date</w:t>
      </w:r>
      <w:r>
        <w:rPr>
          <w:rFonts w:ascii="Times New Roman;Times;serif" w:hAnsi="Times New Roman;Times;serif"/>
          <w:sz w:val="24"/>
        </w:rPr>
        <w:t>”) but not thereafter, to subscribe for and purchase from AEON Biopharma, Inc., a Delaware corporation (the “</w:t>
      </w:r>
      <w:r>
        <w:rPr>
          <w:rFonts w:ascii="Times New Roman;Times;serif" w:hAnsi="Times New Roman;Times;serif"/>
          <w:sz w:val="24"/>
          <w:u w:val="single"/>
        </w:rPr>
        <w:t>Company</w:t>
      </w:r>
      <w:r>
        <w:rPr>
          <w:rFonts w:ascii="Times New Roman;Times;serif" w:hAnsi="Times New Roman;Times;serif"/>
          <w:sz w:val="24"/>
        </w:rPr>
        <w:t>”), up to ______ shares (as subject to adjustment hereunder, the “</w:t>
      </w:r>
      <w:r>
        <w:rPr>
          <w:rFonts w:ascii="Times New Roman;Times;serif" w:hAnsi="Times New Roman;Times;serif"/>
          <w:sz w:val="24"/>
          <w:u w:val="single"/>
        </w:rPr>
        <w:t>Warrant Shares</w:t>
      </w:r>
      <w:r>
        <w:rPr>
          <w:rFonts w:ascii="Times New Roman;Times;serif" w:hAnsi="Times New Roman;Times;serif"/>
          <w:sz w:val="24"/>
        </w:rPr>
        <w:t>”) of Common Stock. The purchase price of one share of Common Stock under this Warrant shall be equal to the Exercise Price, as defined in Section 2(b).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u w:val="single"/>
        </w:rPr>
        <w:t>Section 1</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Definitions</w:t>
      </w:r>
      <w:r>
        <w:rPr>
          <w:rFonts w:ascii="Times New Roman;Times;serif" w:hAnsi="Times New Roman;Times;serif"/>
          <w:sz w:val="24"/>
        </w:rPr>
        <w:t>.  Capitalized terms used and not otherwise defined herein shall have the meanings set forth in that certain Underwriting Agreement (the “</w:t>
      </w:r>
      <w:r>
        <w:rPr>
          <w:rFonts w:ascii="Times New Roman;Times;serif" w:hAnsi="Times New Roman;Times;serif"/>
          <w:sz w:val="24"/>
          <w:u w:val="single"/>
        </w:rPr>
        <w:t>Underwriting Agreement</w:t>
      </w:r>
      <w:r>
        <w:rPr>
          <w:rFonts w:ascii="Times New Roman;Times;serif" w:hAnsi="Times New Roman;Times;serif"/>
          <w:sz w:val="24"/>
        </w:rPr>
        <w:t xml:space="preserve">”), dated </w:t>
      </w:r>
      <w:r>
        <w:rPr>
          <w:rFonts w:ascii="Times New Roman;Times;serif" w:hAnsi="Times New Roman;Times;serif"/>
          <w:sz w:val="24"/>
          <w:u w:val="single"/>
        </w:rPr>
        <w:t>                 </w:t>
      </w:r>
      <w:r>
        <w:rPr>
          <w:rFonts w:ascii="Times New Roman;Times;serif" w:hAnsi="Times New Roman;Times;serif"/>
          <w:sz w:val="24"/>
        </w:rPr>
        <w:t>__, 2026, among the Company and the purchasers signatory thereto.</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u w:val="single"/>
        </w:rPr>
        <w:t>Section 2</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Exercise</w:t>
      </w:r>
      <w:r>
        <w:rPr>
          <w:rFonts w:ascii="Times New Roman;Times;serif" w:hAnsi="Times New Roman;Times;serif"/>
          <w:sz w:val="24"/>
        </w:rPr>
        <w:t>.</w:t>
      </w:r>
    </w:p>
    <w:p>
      <w:pPr>
        <w:pStyle w:val="TextBody"/>
        <w:bidi w:val="0"/>
        <w:spacing w:before="0" w:after="0"/>
        <w:ind w:left="720" w:right="0" w:firstLine="720"/>
        <w:jc w:val="both"/>
        <w:rPr>
          <w:rFonts w:ascii="Times New Roman;Times;serif" w:hAnsi="Times New Roman;Times;serif"/>
          <w:sz w:val="24"/>
        </w:rPr>
      </w:pPr>
      <w:r>
        <w:rPr>
          <w:rFonts w:ascii="Times New Roman;Times;serif" w:hAnsi="Times New Roman;Times;serif"/>
          <w:sz w:val="24"/>
          <w:u w:val="single"/>
        </w:rPr>
        <w:t>Exercise of Warrant</w:t>
      </w:r>
      <w:r>
        <w:rPr>
          <w:rFonts w:ascii="Times New Roman;Times;serif" w:hAnsi="Times New Roman;Times;serif"/>
          <w:sz w:val="24"/>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sz w:val="24"/>
          <w:u w:val="single"/>
        </w:rPr>
        <w:t>Notice of Exercise</w:t>
      </w:r>
      <w:r>
        <w:rPr>
          <w:rFonts w:ascii="Times New Roman;Times;serif" w:hAnsi="Times New Roman;Times;serif"/>
          <w:sz w:val="24"/>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Warrant Shares purchased and the date of such purchases. The Company shall deliver any objection to any Notice of Exercise on the Trading Day of receipt of such notice.  </w:t>
      </w:r>
      <w:r>
        <w:rPr>
          <w:rFonts w:ascii="Times New Roman;Times;serif" w:hAnsi="Times New Roman;Times;serif"/>
          <w:b/>
          <w:sz w:val="24"/>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sz w:val="24"/>
        </w:rPr>
        <w:t>“</w:t>
      </w:r>
      <w:r>
        <w:rPr>
          <w:rFonts w:ascii="Times New Roman;Times;serif" w:hAnsi="Times New Roman;Times;serif"/>
          <w:sz w:val="24"/>
          <w:u w:val="single"/>
        </w:rPr>
        <w:t>Trading Day</w:t>
      </w:r>
      <w:r>
        <w:rPr>
          <w:rFonts w:ascii="Times New Roman;Times;serif" w:hAnsi="Times New Roman;Times;serif"/>
          <w:sz w:val="24"/>
        </w:rPr>
        <w:t>” means a day on which the principal Trading Market is open for trading. “</w:t>
      </w:r>
      <w:r>
        <w:rPr>
          <w:rFonts w:ascii="Times New Roman;Times;serif" w:hAnsi="Times New Roman;Times;serif"/>
          <w:sz w:val="24"/>
          <w:u w:val="single"/>
        </w:rPr>
        <w:t>Trading Market</w:t>
      </w:r>
      <w:r>
        <w:rPr>
          <w:rFonts w:ascii="Times New Roman;Times;serif" w:hAnsi="Times New Roman;Times;serif"/>
          <w:sz w:val="24"/>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Exercise Price</w:t>
      </w:r>
      <w:r>
        <w:rPr>
          <w:rFonts w:ascii="Times New Roman;Times;serif" w:hAnsi="Times New Roman;Times;serif"/>
          <w:sz w:val="24"/>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Times;serif" w:hAnsi="Times New Roman;Times;serif"/>
          <w:sz w:val="24"/>
          <w:u w:val="single"/>
        </w:rPr>
        <w:t>Exercise Price</w:t>
      </w:r>
      <w:r>
        <w:rPr>
          <w:rFonts w:ascii="Times New Roman;Times;serif" w:hAnsi="Times New Roman;Times;serif"/>
          <w:sz w:val="24"/>
        </w:rPr>
        <w: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Cashless Exercise</w:t>
      </w:r>
      <w:r>
        <w:rPr>
          <w:rFonts w:ascii="Times New Roman;Times;serif" w:hAnsi="Times New Roman;Times;serif"/>
          <w:sz w:val="24"/>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pBdr/>
        <w:bidi w:val="0"/>
        <w:spacing w:before="0" w:after="0"/>
        <w:ind w:left="1440" w:right="0" w:hanging="630"/>
        <w:jc w:val="both"/>
        <w:rPr>
          <w:rFonts w:ascii="Times New Roman;Times;serif" w:hAnsi="Times New Roman;Times;serif"/>
          <w:sz w:val="24"/>
        </w:rPr>
      </w:pPr>
      <w:bookmarkStart w:id="98" w:name="_Hlk20392761"/>
      <w:bookmarkEnd w:id="98"/>
      <w:r>
        <w:rPr>
          <w:rFonts w:ascii="Times New Roman;Times;serif" w:hAnsi="Times New Roman;Times;serif"/>
          <w:sz w:val="24"/>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sz w:val="24"/>
          <w:u w:val="single"/>
        </w:rPr>
        <w:t>Bloomberg</w:t>
      </w:r>
      <w:r>
        <w:rPr>
          <w:rFonts w:ascii="Times New Roman;Times;serif" w:hAnsi="Times New Roman;Times;serif"/>
          <w:sz w:val="24"/>
        </w:rPr>
        <w:t>”) withing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pBdr/>
        <w:bidi w:val="0"/>
        <w:spacing w:before="0" w:after="0"/>
        <w:ind w:left="1440" w:right="0" w:hanging="720"/>
        <w:jc w:val="both"/>
        <w:rPr/>
      </w:pPr>
      <w:r>
        <w:rPr/>
        <w:t>​</w:t>
      </w:r>
    </w:p>
    <w:p>
      <w:pPr>
        <w:pStyle w:val="TextBody"/>
        <w:pBdr/>
        <w:bidi w:val="0"/>
        <w:spacing w:before="0" w:after="0"/>
        <w:ind w:left="1440" w:right="0" w:hanging="720"/>
        <w:jc w:val="both"/>
        <w:rPr>
          <w:rFonts w:ascii="Times New Roman;Times;serif" w:hAnsi="Times New Roman;Times;serif"/>
          <w:sz w:val="24"/>
        </w:rPr>
      </w:pPr>
      <w:r>
        <w:rPr>
          <w:rFonts w:ascii="Times New Roman;Times;serif" w:hAnsi="Times New Roman;Times;serif"/>
          <w:sz w:val="24"/>
        </w:rPr>
        <w:t xml:space="preserve">(B) = the Exercise Price of this Warrant, as adjusted hereunder; and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2</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1440" w:right="0" w:hanging="720"/>
        <w:jc w:val="both"/>
        <w:rPr/>
      </w:pPr>
      <w:r>
        <w:rPr/>
        <w:t>​</w:t>
      </w:r>
    </w:p>
    <w:p>
      <w:pPr>
        <w:pStyle w:val="TextBody"/>
        <w:pBdr/>
        <w:bidi w:val="0"/>
        <w:spacing w:before="0" w:after="0"/>
        <w:ind w:left="1440" w:right="0" w:hanging="630"/>
        <w:jc w:val="both"/>
        <w:rPr>
          <w:rFonts w:ascii="Times New Roman;Times;serif" w:hAnsi="Times New Roman;Times;serif"/>
          <w:sz w:val="24"/>
        </w:rPr>
      </w:pPr>
      <w:r>
        <w:rPr>
          <w:rFonts w:ascii="Times New Roman;Times;serif" w:hAnsi="Times New Roman;Times;serif"/>
          <w:sz w:val="24"/>
        </w:rPr>
        <w:t>(X) = the number of Warrant Shares that would be issuable upon exercise of this Warrant in accordance with the terms of this Warrant if such exercise were by means of a cash exercise rather than a cashless exercise.</w:t>
      </w:r>
    </w:p>
    <w:p>
      <w:pPr>
        <w:pStyle w:val="TextBody"/>
        <w:pBdr/>
        <w:bidi w:val="0"/>
        <w:spacing w:before="0" w:after="0"/>
        <w:ind w:left="1440" w:right="0" w:hanging="630"/>
        <w:jc w:val="both"/>
        <w:rPr/>
      </w:pPr>
      <w:r>
        <w:rPr/>
        <w:t>​</w:t>
      </w:r>
    </w:p>
    <w:p>
      <w:pPr>
        <w:pStyle w:val="TextBody"/>
        <w:bidi w:val="0"/>
        <w:spacing w:before="0" w:after="240"/>
        <w:ind w:left="720" w:right="0" w:firstLine="720"/>
        <w:jc w:val="both"/>
        <w:rPr>
          <w:rFonts w:ascii="Times New Roman;Times;serif" w:hAnsi="Times New Roman;Times;serif"/>
          <w:sz w:val="24"/>
          <w:shd w:fill="FFFFFF" w:val="clear"/>
        </w:rPr>
      </w:pPr>
      <w:r>
        <w:rPr>
          <w:rFonts w:ascii="Times New Roman;Times;serif" w:hAnsi="Times New Roman;Times;serif"/>
          <w:sz w:val="24"/>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240"/>
        <w:ind w:left="720" w:right="0" w:firstLine="720"/>
        <w:jc w:val="both"/>
        <w:rPr/>
      </w:pPr>
      <w:r>
        <w:rPr/>
        <w:t>“</w:t>
      </w:r>
      <w:r>
        <w:rPr>
          <w:rFonts w:ascii="Times New Roman;Times;serif" w:hAnsi="Times New Roman;Times;serif"/>
          <w:sz w:val="24"/>
          <w:u w:val="single"/>
        </w:rPr>
        <w:t>Bid Price</w:t>
      </w:r>
      <w:r>
        <w:rPr>
          <w:rFonts w:ascii="Times New Roman;Times;serif" w:hAnsi="Times New Roman;Times;serif"/>
          <w:sz w:val="24"/>
        </w:rPr>
        <w:t xml:space="preserve">”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bidi w:val="0"/>
        <w:spacing w:before="0" w:after="240"/>
        <w:ind w:left="720" w:right="0" w:firstLine="720"/>
        <w:jc w:val="both"/>
        <w:rPr/>
      </w:pPr>
      <w:r>
        <w:rPr/>
        <w:t>“</w:t>
      </w:r>
      <w:r>
        <w:rPr>
          <w:rFonts w:ascii="Times New Roman;Times;serif" w:hAnsi="Times New Roman;Times;serif"/>
          <w:sz w:val="24"/>
          <w:u w:val="single"/>
        </w:rPr>
        <w:t>VWAP</w:t>
      </w:r>
      <w:r>
        <w:rPr>
          <w:rFonts w:ascii="Times New Roman;Times;serif" w:hAnsi="Times New Roman;Times;serif"/>
          <w:sz w:val="24"/>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sz w:val="24"/>
          <w:u w:val="single"/>
        </w:rPr>
        <w:t>OTCQB</w:t>
      </w:r>
      <w:r>
        <w:rPr>
          <w:rFonts w:ascii="Times New Roman;Times;serif" w:hAnsi="Times New Roman;Times;serif"/>
          <w:sz w:val="24"/>
        </w:rPr>
        <w:t>”) or the OTCQX Best Market (“</w:t>
      </w:r>
      <w:r>
        <w:rPr>
          <w:rFonts w:ascii="Times New Roman;Times;serif" w:hAnsi="Times New Roman;Times;serif"/>
          <w:sz w:val="24"/>
          <w:u w:val="single"/>
        </w:rPr>
        <w:t>OTCQX</w:t>
      </w:r>
      <w:r>
        <w:rPr>
          <w:rFonts w:ascii="Times New Roman;Times;serif" w:hAnsi="Times New Roman;Times;serif"/>
          <w:sz w:val="24"/>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Times;serif" w:hAnsi="Times New Roman;Times;serif"/>
          <w:sz w:val="24"/>
          <w:u w:val="single"/>
        </w:rPr>
        <w:t>Pink Market</w:t>
      </w:r>
      <w:r>
        <w:rPr>
          <w:rFonts w:ascii="Times New Roman;Times;serif" w:hAnsi="Times New Roman;Times;serif"/>
          <w:sz w:val="24"/>
        </w:rPr>
        <w:t xml:space="preserve">”)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 </w:t>
      </w:r>
    </w:p>
    <w:p>
      <w:pPr>
        <w:pStyle w:val="TextBody"/>
        <w:pBdr/>
        <w:bidi w:val="0"/>
        <w:spacing w:before="0" w:after="0"/>
        <w:ind w:left="1440" w:right="0" w:hanging="630"/>
        <w:jc w:val="both"/>
        <w:rPr/>
      </w:pPr>
      <w:r>
        <w:rPr/>
        <w:t>​</w:t>
      </w:r>
    </w:p>
    <w:tbl>
      <w:tblPr>
        <w:tblW w:w="2508" w:type="dxa"/>
        <w:jc w:val="left"/>
        <w:tblInd w:w="0" w:type="dxa"/>
        <w:tblLayout w:type="fixed"/>
        <w:tblCellMar>
          <w:top w:w="0" w:type="dxa"/>
          <w:left w:w="0" w:type="dxa"/>
          <w:bottom w:w="0" w:type="dxa"/>
          <w:right w:w="0" w:type="dxa"/>
        </w:tblCellMar>
      </w:tblPr>
      <w:tblGrid>
        <w:gridCol w:w="23"/>
        <w:gridCol w:w="200"/>
        <w:gridCol w:w="22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22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Mechanics of Exercise</w:t>
            </w:r>
            <w:r>
              <w:rPr>
                <w:rFonts w:ascii="Times New Roman;Times;serif" w:hAnsi="Times New Roman;Times;serif"/>
                <w:b w:val="false"/>
                <w:i w:val="false"/>
                <w:caps w:val="false"/>
                <w:smallCaps w:val="false"/>
                <w:sz w:val="24"/>
              </w:rPr>
              <w:t xml:space="preserve">. </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3</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18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Delivery of Warrant Shares Upon Exercise</w:t>
      </w:r>
      <w:r>
        <w:rPr>
          <w:rFonts w:ascii="Times New Roman;Times;serif" w:hAnsi="Times New Roman;Times;serif"/>
          <w:sz w:val="24"/>
        </w:rPr>
        <w:t>.  The Company shall cause the Warrant Shares purchased hereunder to be transmitted by Broadridge Corporate Issuer Solutions, Inc. (the “</w:t>
      </w:r>
      <w:r>
        <w:rPr>
          <w:rFonts w:ascii="Times New Roman;Times;serif" w:hAnsi="Times New Roman;Times;serif"/>
          <w:sz w:val="24"/>
          <w:u w:val="single"/>
        </w:rPr>
        <w:t>Transfer Agent</w:t>
      </w:r>
      <w:r>
        <w:rPr>
          <w:rFonts w:ascii="Times New Roman;Times;serif" w:hAnsi="Times New Roman;Times;serif"/>
          <w:sz w:val="24"/>
        </w:rPr>
        <w:t>”) to the Holder by crediting the account of the Holder’s or its designee’s balance account with The Depository Trust Company through its Deposit or Withdrawal at Custodian system (“</w:t>
      </w:r>
      <w:r>
        <w:rPr>
          <w:rFonts w:ascii="Times New Roman;Times;serif" w:hAnsi="Times New Roman;Times;serif"/>
          <w:sz w:val="24"/>
          <w:u w:val="single"/>
        </w:rPr>
        <w:t>DWAC</w:t>
      </w:r>
      <w:r>
        <w:rPr>
          <w:rFonts w:ascii="Times New Roman;Times;serif" w:hAnsi="Times New Roman;Times;serif"/>
          <w:sz w:val="24"/>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sz w:val="24"/>
          <w:u w:val="single"/>
        </w:rPr>
        <w:t>Warrant Share Delivery Date</w:t>
      </w:r>
      <w:r>
        <w:rPr>
          <w:rFonts w:ascii="Times New Roman;Times;serif" w:hAnsi="Times New Roman;Times;serif"/>
          <w:sz w:val="24"/>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w:t>
      </w:r>
      <w:bookmarkStart w:id="99" w:name="_Hlk20393258"/>
      <w:bookmarkEnd w:id="99"/>
      <w:r>
        <w:rPr>
          <w:rFonts w:ascii="Times New Roman;Times;serif" w:hAnsi="Times New Roman;Times;serif"/>
          <w:sz w:val="24"/>
        </w:rPr>
        <w:t>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sz w:val="24"/>
          <w:u w:val="single"/>
        </w:rPr>
        <w:t>Standard Settlement Period</w:t>
      </w:r>
      <w:r>
        <w:rPr>
          <w:rFonts w:ascii="Times New Roman;Times;serif" w:hAnsi="Times New Roman;Times;serif"/>
          <w:sz w:val="24"/>
        </w:rPr>
        <w:t xml:space="preserve">”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4</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Warrant Share Delivery Date for purposes hereunder, provided that payment of the aggregate Exercise Price (other than in the case of a cashless exercise) is received by such Warrant Share Delivery Date.</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Delivery of New Warrants Upon Exercise</w:t>
      </w:r>
      <w:r>
        <w:rPr>
          <w:rFonts w:ascii="Times New Roman;Times;serif" w:hAnsi="Times New Roman;Times;serif"/>
          <w:sz w:val="24"/>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Rescission Rights</w:t>
      </w:r>
      <w:r>
        <w:rPr>
          <w:rFonts w:ascii="Times New Roman;Times;serif" w:hAnsi="Times New Roman;Times;serif"/>
          <w:sz w:val="24"/>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sz w:val="24"/>
          <w:u w:val="single"/>
        </w:rPr>
        <w:t>Compensation for Buy-In on Failure to Timely Deliver Warrant Shares Upon Exercise</w:t>
      </w:r>
      <w:r>
        <w:rPr>
          <w:rFonts w:ascii="Times New Roman;Times;serif" w:hAnsi="Times New Roman;Times;serif"/>
          <w:sz w:val="24"/>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4"/>
          <w:u w:val="single"/>
        </w:rPr>
        <w:t>Buy-In</w:t>
      </w:r>
      <w:r>
        <w:rPr>
          <w:rFonts w:ascii="Times New Roman;Times;serif" w:hAnsi="Times New Roman;Times;serif"/>
          <w:sz w:val="24"/>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5</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sz w:val="24"/>
          <w:u w:val="single"/>
        </w:rPr>
        <w:t>No Fractional Shares or Scrip</w:t>
      </w:r>
      <w:r>
        <w:rPr>
          <w:rFonts w:ascii="Times New Roman;Times;serif" w:hAnsi="Times New Roman;Times;serif"/>
          <w:sz w:val="24"/>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vi.</w:t>
      </w:r>
      <w:r>
        <w:rPr>
          <w:rFonts w:ascii="Times New Roman;Times;serif" w:hAnsi="Times New Roman;Times;serif"/>
          <w:sz w:val="24"/>
          <w:u w:val="single"/>
        </w:rPr>
        <w:t>Charges, Taxes and Expenses</w:t>
      </w:r>
      <w:r>
        <w:rPr>
          <w:rFonts w:ascii="Times New Roman;Times;serif" w:hAnsi="Times New Roman;Times;serif"/>
          <w:sz w:val="24"/>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360" w:hanging="0"/>
        <w:jc w:val="both"/>
        <w:rPr>
          <w:rFonts w:ascii="Times New Roman;Times;serif" w:hAnsi="Times New Roman;Times;serif"/>
          <w:sz w:val="24"/>
        </w:rPr>
      </w:pPr>
      <w:r>
        <w:rPr>
          <w:rFonts w:ascii="Times New Roman;Times;serif" w:hAnsi="Times New Roman;Times;serif"/>
          <w:sz w:val="24"/>
        </w:rPr>
        <w:t>vii.</w:t>
      </w:r>
      <w:r>
        <w:rPr>
          <w:rFonts w:ascii="Times New Roman;Times;serif" w:hAnsi="Times New Roman;Times;serif"/>
          <w:sz w:val="24"/>
          <w:u w:val="single"/>
        </w:rPr>
        <w:t>Closing of Books</w:t>
      </w:r>
      <w:r>
        <w:rPr>
          <w:rFonts w:ascii="Times New Roman;Times;serif" w:hAnsi="Times New Roman;Times;serif"/>
          <w:sz w:val="24"/>
        </w:rPr>
        <w:t>.  The Company will not close its stockholder books or records in any manner which prevents the timely exercise of this Warrant, pursuant to the terms hereof.</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Holder’s Exercise Limitations</w:t>
      </w:r>
      <w:r>
        <w:rPr>
          <w:rFonts w:ascii="Times New Roman;Times;serif" w:hAnsi="Times New Roman;Times;serif"/>
          <w:sz w:val="24"/>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sz w:val="24"/>
          <w:u w:val="single"/>
        </w:rPr>
        <w:t>Attribution Parties</w:t>
      </w:r>
      <w:r>
        <w:rPr>
          <w:rFonts w:ascii="Times New Roman;Times;serif" w:hAnsi="Times New Roman;Times;serif"/>
          <w:sz w:val="24"/>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6</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sz w:val="24"/>
          <w:u w:val="single"/>
        </w:rPr>
        <w:t>Beneficial Ownership Limitation</w:t>
      </w:r>
      <w:r>
        <w:rPr>
          <w:rFonts w:ascii="Times New Roman;Times;serif" w:hAnsi="Times New Roman;Times;serif"/>
          <w:sz w:val="24"/>
        </w:rPr>
        <w:t>” shall be [9.99/4.99]%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sz w:val="18"/>
        </w:rPr>
        <w:t>st</w:t>
      </w:r>
      <w:r>
        <w:rPr>
          <w:rFonts w:ascii="Times New Roman;Times;serif" w:hAnsi="Times New Roman;Times;serif"/>
          <w:sz w:val="24"/>
        </w:rPr>
        <w:t xml:space="preserve"> day after such notice is delivered to the Company.  The provisions of this paragraph shall be construed and implemented in a manner otherwise than in strict conformity with the terms of this Section 2(e) to correct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7</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r>
        <w:rPr>
          <w:rFonts w:ascii="Times New Roman;Times;serif" w:hAnsi="Times New Roman;Times;serif"/>
          <w:sz w:val="24"/>
          <w:u w:val="single"/>
        </w:rPr>
        <w:t>Affiliate</w:t>
      </w:r>
      <w:r>
        <w:rPr>
          <w:rFonts w:ascii="Times New Roman;Times;serif" w:hAnsi="Times New Roman;Times;serif"/>
          <w:sz w:val="24"/>
        </w:rPr>
        <w:t>” has the meaning set forth in Rule 405 under the Securities Act of 1933, as amended.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u w:val="single"/>
        </w:rPr>
        <w:t>Section 3</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Certain Adjustments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Stock Dividends and Splits</w:t>
      </w:r>
      <w:r>
        <w:rPr>
          <w:rFonts w:ascii="Times New Roman;Times;serif" w:hAnsi="Times New Roman;Times;serif"/>
          <w:sz w:val="24"/>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Subsequent Rights Offerings</w:t>
      </w:r>
      <w:r>
        <w:rPr>
          <w:rFonts w:ascii="Times New Roman;Times;serif" w:hAnsi="Times New Roman;Times;serif"/>
          <w:sz w:val="24"/>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z w:val="24"/>
          <w:u w:val="single"/>
        </w:rPr>
        <w:t>Purchase Rights</w:t>
      </w:r>
      <w:r>
        <w:rPr>
          <w:rFonts w:ascii="Times New Roman;Times;serif" w:hAnsi="Times New Roman;Times;serif"/>
          <w:sz w:val="24"/>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xml:space="preserve">,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8</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until such time, if ever, as its right thereto would not result in the Holder exceeding the Beneficial Ownership Limitation).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Pro Rata Distributions</w:t>
      </w:r>
      <w:r>
        <w:rPr>
          <w:rFonts w:ascii="Times New Roman;Times;serif" w:hAnsi="Times New Roman;Times;serif"/>
          <w:sz w:val="24"/>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4"/>
          <w:u w:val="single"/>
        </w:rPr>
        <w:t>Distribution</w:t>
      </w:r>
      <w:r>
        <w:rPr>
          <w:rFonts w:ascii="Times New Roman;Times;serif" w:hAnsi="Times New Roman;Times;serif"/>
          <w:sz w:val="24"/>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Fundamental Transaction</w:t>
      </w:r>
      <w:r>
        <w:rPr>
          <w:rFonts w:ascii="Times New Roman;Times;serif" w:hAnsi="Times New Roman;Times;serif"/>
          <w:sz w:val="24"/>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w:t>
      </w:r>
      <w:bookmarkStart w:id="100" w:name="OLE_LINK5"/>
      <w:bookmarkStart w:id="101" w:name="OLE_LINK6"/>
      <w:bookmarkEnd w:id="100"/>
      <w:bookmarkEnd w:id="101"/>
      <w:r>
        <w:rPr>
          <w:rFonts w:ascii="Times New Roman;Times;serif" w:hAnsi="Times New Roman;Times;serif"/>
          <w:sz w:val="24"/>
        </w:rPr>
        <w:t xml:space="preserve">,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9</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Stock or greater than 50% of the voting power of the common equity of the Company (each a “</w:t>
      </w:r>
      <w:r>
        <w:rPr>
          <w:rFonts w:ascii="Times New Roman;Times;serif" w:hAnsi="Times New Roman;Times;serif"/>
          <w:sz w:val="24"/>
          <w:u w:val="single"/>
        </w:rPr>
        <w:t>Fundamental Transaction</w:t>
      </w:r>
      <w:r>
        <w:rPr>
          <w:rFonts w:ascii="Times New Roman;Times;serif" w:hAnsi="Times New Roman;Times;serif"/>
          <w:sz w:val="24"/>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4"/>
          <w:u w:val="single"/>
        </w:rPr>
        <w:t>Alternate Consideration</w:t>
      </w:r>
      <w:r>
        <w:rPr>
          <w:rFonts w:ascii="Times New Roman;Times;serif" w:hAnsi="Times New Roman;Times;serif"/>
          <w:sz w:val="24"/>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sz w:val="24"/>
          <w:u w:val="single"/>
        </w:rPr>
        <w:t>Successor Entity</w:t>
      </w:r>
      <w:r>
        <w:rPr>
          <w:rFonts w:ascii="Times New Roman;Times;serif" w:hAnsi="Times New Roman;Times;serif"/>
          <w:sz w:val="24"/>
        </w:rPr>
        <w:t xml:space="preserve">”)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10</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Calculations</w:t>
      </w:r>
      <w:r>
        <w:rPr>
          <w:rFonts w:ascii="Times New Roman;Times;serif" w:hAnsi="Times New Roman;Times;serif"/>
          <w:sz w:val="24"/>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Notice to Holder</w:t>
      </w:r>
      <w:r>
        <w:rPr>
          <w:rFonts w:ascii="Times New Roman;Times;serif" w:hAnsi="Times New Roman;Times;serif"/>
          <w:sz w:val="24"/>
        </w:rPr>
        <w:t>.  </w:t>
      </w:r>
    </w:p>
    <w:p>
      <w:pPr>
        <w:pStyle w:val="TextBody"/>
        <w:bidi w:val="0"/>
        <w:spacing w:before="0" w:after="240"/>
        <w:ind w:left="0" w:right="36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Adjustment to Exercise Price</w:t>
      </w:r>
      <w:r>
        <w:rPr>
          <w:rFonts w:ascii="Times New Roman;Times;serif" w:hAnsi="Times New Roman;Times;serif"/>
          <w:sz w:val="24"/>
        </w:rPr>
        <w:t xml:space="preserv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 </w:t>
      </w:r>
    </w:p>
    <w:p>
      <w:pPr>
        <w:pStyle w:val="TextBody"/>
        <w:bidi w:val="0"/>
        <w:ind w:left="0" w:right="36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Notice to Allow Exercise by Holder</w:t>
      </w:r>
      <w:r>
        <w:rPr>
          <w:rFonts w:ascii="Times New Roman;Times;serif" w:hAnsi="Times New Roman;Times;serif"/>
          <w:sz w:val="24"/>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11</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0" w:right="0" w:firstLine="720"/>
        <w:jc w:val="both"/>
        <w:rPr>
          <w:rFonts w:ascii="Times New Roman;Times;serif" w:hAnsi="Times New Roman;Times;serif"/>
          <w:sz w:val="24"/>
        </w:rPr>
      </w:pPr>
      <w:r>
        <w:rPr>
          <w:rFonts w:ascii="Times New Roman;Times;serif" w:hAnsi="Times New Roman;Times;serif"/>
          <w:sz w:val="24"/>
        </w:rPr>
        <w:t>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w:t>
      </w:r>
      <w:bookmarkStart w:id="102" w:name="_Hlk20393876"/>
      <w:bookmarkEnd w:id="102"/>
      <w:r>
        <w:rPr>
          <w:rFonts w:ascii="Times New Roman;Times;serif" w:hAnsi="Times New Roman;Times;serif"/>
          <w:sz w:val="24"/>
        </w:rPr>
        <w:t>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u w:val="single"/>
        </w:rPr>
        <w:t>Section 4</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Transfer of Warrant</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Transferability</w:t>
      </w:r>
      <w:r>
        <w:rPr>
          <w:rFonts w:ascii="Times New Roman;Times;serif" w:hAnsi="Times New Roman;Times;serif"/>
          <w:sz w:val="24"/>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w:t>
      </w:r>
      <w:bookmarkStart w:id="103" w:name="_Hlk20394027"/>
      <w:bookmarkEnd w:id="103"/>
      <w:r>
        <w:rPr>
          <w:rFonts w:ascii="Times New Roman;Times;serif" w:hAnsi="Times New Roman;Times;serif"/>
          <w:sz w:val="24"/>
        </w:rPr>
        <w:t>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New Warrants</w:t>
      </w:r>
      <w:r>
        <w:rPr>
          <w:rFonts w:ascii="Times New Roman;Times;serif" w:hAnsi="Times New Roman;Times;serif"/>
          <w:sz w:val="24"/>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12</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Warrant Register</w:t>
      </w:r>
      <w:r>
        <w:rPr>
          <w:rFonts w:ascii="Times New Roman;Times;serif" w:hAnsi="Times New Roman;Times;serif"/>
          <w:sz w:val="24"/>
        </w:rPr>
        <w:t>. The Company shall register this Warrant, upon records to be maintained by the Company for that purpose (the “</w:t>
      </w:r>
      <w:r>
        <w:rPr>
          <w:rFonts w:ascii="Times New Roman;Times;serif" w:hAnsi="Times New Roman;Times;serif"/>
          <w:sz w:val="24"/>
          <w:u w:val="single"/>
        </w:rPr>
        <w:t>Warrant Register</w:t>
      </w:r>
      <w:r>
        <w:rPr>
          <w:rFonts w:ascii="Times New Roman;Times;serif" w:hAnsi="Times New Roman;Times;serif"/>
          <w:sz w:val="24"/>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u w:val="single"/>
        </w:rPr>
        <w:t>Section 5</w:t>
      </w:r>
      <w:r>
        <w:rPr>
          <w:rFonts w:ascii="Times New Roman;Times;serif" w:hAnsi="Times New Roman;Times;serif"/>
          <w:b w:val="false"/>
          <w:i w:val="false"/>
          <w:caps w:val="false"/>
          <w:smallCaps w:val="false"/>
          <w:sz w:val="24"/>
        </w:rPr>
        <w:t>.</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 Rights as Stockholder Until Exercise; No Settlement in Cash</w:t>
      </w:r>
      <w:r>
        <w:rPr>
          <w:rFonts w:ascii="Times New Roman;Times;serif" w:hAnsi="Times New Roman;Times;serif"/>
          <w:sz w:val="24"/>
        </w:rPr>
        <w:t>.  This Warrant does not entitle the Holder to any voting rights, dividends or other rights as a stockholder of the Company prior to the exercise hereof as set forth in Section 2(d)(i), except as expressly set forth in Section 3.  </w:t>
      </w:r>
      <w:bookmarkStart w:id="104" w:name="_Hlk20394114"/>
      <w:bookmarkEnd w:id="104"/>
      <w:r>
        <w:rPr>
          <w:rFonts w:ascii="Times New Roman;Times;serif" w:hAnsi="Times New Roman;Times;serif"/>
          <w:sz w:val="24"/>
        </w:rPr>
        <w:t>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Loss, Theft, Destruction or Mutilation of Warrant</w:t>
      </w:r>
      <w:r>
        <w:rPr>
          <w:rFonts w:ascii="Times New Roman;Times;serif" w:hAnsi="Times New Roman;Times;serif"/>
          <w:sz w:val="24"/>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Saturdays, Sundays, Holidays, etc</w:t>
      </w:r>
      <w:r>
        <w:rPr>
          <w:rFonts w:ascii="Times New Roman;Times;serif" w:hAnsi="Times New Roman;Times;serif"/>
          <w:sz w:val="24"/>
        </w:rPr>
        <w:t>.  If the last or appointed day for the taking of any action or the expiration of any right required or granted herein shall not be a Business Day, then such action may be taken or such right may be exercised on the next succeeding Business Day. “</w:t>
      </w:r>
      <w:r>
        <w:rPr>
          <w:rFonts w:ascii="Times New Roman;Times;serif" w:hAnsi="Times New Roman;Times;serif"/>
          <w:sz w:val="24"/>
          <w:u w:val="single"/>
        </w:rPr>
        <w:t>Business Day</w:t>
      </w:r>
      <w:r>
        <w:rPr>
          <w:rFonts w:ascii="Times New Roman;Times;serif" w:hAnsi="Times New Roman;Times;serif"/>
          <w:sz w:val="24"/>
        </w:rPr>
        <w:t xml:space="preserve">” means any day other than Saturday, Sunday or other day on which commercial banks in The City of New York are authorized or required by law to remain closed;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however</w:t>
      </w:r>
      <w:r>
        <w:rPr>
          <w:rFonts w:ascii="Times New Roman;Times;serif" w:hAnsi="Times New Roman;Times;serif"/>
          <w:sz w:val="24"/>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Authorized Shares</w:t>
      </w:r>
      <w:r>
        <w:rPr>
          <w:rFonts w:ascii="Times New Roman;Times;serif" w:hAnsi="Times New Roman;Times;serif"/>
          <w:sz w:val="24"/>
        </w:rPr>
        <w:t>.  </w:t>
      </w:r>
    </w:p>
    <w:p>
      <w:pPr>
        <w:pStyle w:val="TextBody"/>
        <w:bidi w:val="0"/>
        <w:spacing w:before="0" w:after="0"/>
        <w:ind w:left="1440" w:right="0" w:firstLine="1440"/>
        <w:jc w:val="both"/>
        <w:rPr>
          <w:rFonts w:ascii="Times New Roman;Times;serif" w:hAnsi="Times New Roman;Times;serif"/>
          <w:sz w:val="24"/>
        </w:rPr>
      </w:pPr>
      <w:r>
        <w:rPr>
          <w:rFonts w:ascii="Times New Roman;Times;serif" w:hAnsi="Times New Roman;Times;serif"/>
          <w:sz w:val="24"/>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13</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ind w:left="1440" w:right="0" w:firstLine="720"/>
        <w:jc w:val="both"/>
        <w:rPr>
          <w:rFonts w:ascii="Times New Roman;Times;serif" w:hAnsi="Times New Roman;Times;serif"/>
          <w:sz w:val="24"/>
        </w:rPr>
      </w:pPr>
      <w:r>
        <w:rPr>
          <w:rFonts w:ascii="Times New Roman;Times;serif" w:hAnsi="Times New Roman;Times;serif"/>
          <w:sz w:val="24"/>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Jurisdiction</w:t>
      </w:r>
      <w:r>
        <w:rPr>
          <w:rFonts w:ascii="Times New Roman;Times;serif" w:hAnsi="Times New Roman;Times;serif"/>
          <w:sz w:val="24"/>
        </w:rPr>
        <w:t>. All questions concerning the construction, validity, enforcement and interpretation of this Warrant shall be determined in accordance with the provisions of the Underwriting Agreement.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Restrictions</w:t>
      </w:r>
      <w:r>
        <w:rPr>
          <w:rFonts w:ascii="Times New Roman;Times;serif" w:hAnsi="Times New Roman;Times;serif"/>
          <w:sz w:val="24"/>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14</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Nonwaiver and Expenses</w:t>
      </w:r>
      <w:r>
        <w:rPr>
          <w:rFonts w:ascii="Times New Roman;Times;serif" w:hAnsi="Times New Roman;Times;serif"/>
          <w:sz w:val="24"/>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Notices</w:t>
      </w:r>
      <w:r>
        <w:rPr>
          <w:rFonts w:ascii="Times New Roman;Times;serif" w:hAnsi="Times New Roman;Times;serif"/>
          <w:sz w:val="24"/>
        </w:rPr>
        <w:t>.  Any notice, request or other document required or permitted to be given or delivered to the Holder by the Company shall be delivered in accordance with the notice provisions of the Underwriting Agreement.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Limitation of Liability</w:t>
      </w:r>
      <w:r>
        <w:rPr>
          <w:rFonts w:ascii="Times New Roman;Times;serif" w:hAnsi="Times New Roman;Times;serif"/>
          <w:sz w:val="24"/>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j)</w:t>
      </w:r>
      <w:r>
        <w:rPr>
          <w:rFonts w:ascii="Times New Roman;Times;serif" w:hAnsi="Times New Roman;Times;serif"/>
          <w:sz w:val="24"/>
          <w:u w:val="single"/>
        </w:rPr>
        <w:t>Remedies</w:t>
      </w:r>
      <w:r>
        <w:rPr>
          <w:rFonts w:ascii="Times New Roman;Times;serif" w:hAnsi="Times New Roman;Times;serif"/>
          <w:sz w:val="24"/>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k)</w:t>
      </w:r>
      <w:r>
        <w:rPr>
          <w:rFonts w:ascii="Times New Roman;Times;serif" w:hAnsi="Times New Roman;Times;serif"/>
          <w:sz w:val="24"/>
          <w:u w:val="single"/>
        </w:rPr>
        <w:t>Successors and Assigns</w:t>
      </w:r>
      <w:r>
        <w:rPr>
          <w:rFonts w:ascii="Times New Roman;Times;serif" w:hAnsi="Times New Roman;Times;serif"/>
          <w:sz w:val="24"/>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l)</w:t>
      </w:r>
      <w:r>
        <w:rPr>
          <w:rFonts w:ascii="Times New Roman;Times;serif" w:hAnsi="Times New Roman;Times;serif"/>
          <w:sz w:val="24"/>
          <w:u w:val="single"/>
        </w:rPr>
        <w:t>Amendment</w:t>
      </w:r>
      <w:r>
        <w:rPr>
          <w:rFonts w:ascii="Times New Roman;Times;serif" w:hAnsi="Times New Roman;Times;serif"/>
          <w:sz w:val="24"/>
        </w:rPr>
        <w:t>.  This Warrant may be modified or amended or the provisions hereof waived with the written consent of the Company and the Holder.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m)</w:t>
      </w:r>
      <w:r>
        <w:rPr>
          <w:rFonts w:ascii="Times New Roman;Times;serif" w:hAnsi="Times New Roman;Times;serif"/>
          <w:sz w:val="24"/>
          <w:u w:val="single"/>
        </w:rPr>
        <w:t>Severability</w:t>
      </w:r>
      <w:r>
        <w:rPr>
          <w:rFonts w:ascii="Times New Roman;Times;serif" w:hAnsi="Times New Roman;Times;serif"/>
          <w:sz w:val="24"/>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ind w:left="720" w:right="0" w:hanging="0"/>
        <w:jc w:val="both"/>
        <w:rPr>
          <w:rFonts w:ascii="Times New Roman;Times;serif" w:hAnsi="Times New Roman;Times;serif"/>
          <w:sz w:val="24"/>
        </w:rPr>
      </w:pPr>
      <w:r>
        <w:rPr>
          <w:rFonts w:ascii="Times New Roman;Times;serif" w:hAnsi="Times New Roman;Times;serif"/>
          <w:sz w:val="24"/>
        </w:rPr>
        <w:t>n)</w:t>
      </w:r>
      <w:r>
        <w:rPr>
          <w:rFonts w:ascii="Times New Roman;Times;serif" w:hAnsi="Times New Roman;Times;serif"/>
          <w:sz w:val="24"/>
          <w:u w:val="single"/>
        </w:rPr>
        <w:t>Headings</w:t>
      </w:r>
      <w:r>
        <w:rPr>
          <w:rFonts w:ascii="Times New Roman;Times;serif" w:hAnsi="Times New Roman;Times;serif"/>
          <w:sz w:val="24"/>
        </w:rPr>
        <w:t>.  The headings used in this Warrant are for the convenience of reference only and shall not, for any purpose, be deemed a part of this Warrant.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15</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(Signature Page Follows)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16</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110490" distB="110490" distL="0" distR="0" simplePos="0" locked="0" layoutInCell="1" allowOverlap="1" relativeHeight="23">
                <wp:simplePos x="0" y="0"/>
                <wp:positionH relativeFrom="column">
                  <wp:align>right</wp:align>
                </wp:positionH>
                <wp:positionV relativeFrom="line">
                  <wp:align>top</wp:align>
                </wp:positionV>
                <wp:extent cx="4017645" cy="2316480"/>
                <wp:effectExtent l="0" t="0" r="0" b="0"/>
                <wp:wrapSquare wrapText="left"/>
                <wp:docPr id="4" name="Frame4"/>
                <a:graphic xmlns:a="http://schemas.openxmlformats.org/drawingml/2006/main">
                  <a:graphicData uri="http://schemas.microsoft.com/office/word/2010/wordprocessingShape">
                    <wps:wsp>
                      <wps:cNvSpPr txBox="1"/>
                      <wps:spPr>
                        <a:xfrm>
                          <a:off x="0" y="0"/>
                          <a:ext cx="4017645" cy="2316480"/>
                        </a:xfrm>
                        <a:prstGeom prst="rect"/>
                        <a:solidFill>
                          <a:srgbClr val="FFFFFF"/>
                        </a:solidFill>
                      </wps:spPr>
                      <wps:txbx>
                        <w:txbxContent>
                          <w:tbl>
                            <w:tblPr>
                              <w:tblW w:w="5551" w:type="dxa"/>
                              <w:jc w:val="left"/>
                              <w:tblInd w:w="0" w:type="dxa"/>
                              <w:tblLayout w:type="fixed"/>
                              <w:tblCellMar>
                                <w:top w:w="0" w:type="dxa"/>
                                <w:left w:w="0" w:type="dxa"/>
                                <w:bottom w:w="0" w:type="dxa"/>
                                <w:right w:w="0" w:type="dxa"/>
                              </w:tblCellMar>
                            </w:tblPr>
                            <w:tblGrid>
                              <w:gridCol w:w="5551"/>
                            </w:tblGrid>
                            <w:tr>
                              <w:trPr/>
                              <w:tc>
                                <w:tcPr>
                                  <w:tcW w:w="55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caps/>
                                      <w:sz w:val="24"/>
                                    </w:rPr>
                                    <w:t>AEON BIOPHARMA, Inc.</w:t>
                                  </w:r>
                                  <w:r>
                                    <w:rPr>
                                      <w:rFonts w:ascii="Times New Roman;Times;serif" w:hAnsi="Times New Roman;Times;serif"/>
                                      <w:caps/>
                                      <w:sz w:val="24"/>
                                    </w:rPr>
                                    <w:t xml:space="preserve"> </w:t>
                                  </w:r>
                                </w:p>
                                <w:p>
                                  <w:pPr>
                                    <w:pStyle w:val="TableContents"/>
                                    <w:bidi w:val="0"/>
                                    <w:spacing w:before="0" w:after="480"/>
                                    <w:ind w:left="0" w:right="0" w:hanging="0"/>
                                    <w:jc w:val="left"/>
                                    <w:rPr/>
                                  </w:pPr>
                                  <w:r>
                                    <w:rPr/>
                                    <w:t>​</w:t>
                                  </w:r>
                                </w:p>
                                <w:p>
                                  <w:pPr>
                                    <w:pStyle w:val="TableContents"/>
                                    <w:bidi w:val="0"/>
                                    <w:spacing w:before="0" w:after="48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By:__________________________________________</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ableContents"/>
                                    <w:bidi w:val="0"/>
                                    <w:spacing w:before="0" w:after="480"/>
                                    <w:ind w:left="0" w:right="0" w:hanging="0"/>
                                    <w:jc w:val="left"/>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182.4pt;mso-wrap-distance-left:0pt;mso-wrap-distance-right:0pt;mso-wrap-distance-top:8.7pt;mso-wrap-distance-bottom:8.7pt;margin-top:8.7pt;mso-position-vertical:top;mso-position-vertical-relative:text;margin-left:193.9pt;mso-position-horizontal:right;mso-position-horizontal-relative:text">
                <v:textbox>
                  <w:txbxContent>
                    <w:tbl>
                      <w:tblPr>
                        <w:tblW w:w="5551" w:type="dxa"/>
                        <w:jc w:val="left"/>
                        <w:tblInd w:w="0" w:type="dxa"/>
                        <w:tblLayout w:type="fixed"/>
                        <w:tblCellMar>
                          <w:top w:w="0" w:type="dxa"/>
                          <w:left w:w="0" w:type="dxa"/>
                          <w:bottom w:w="0" w:type="dxa"/>
                          <w:right w:w="0" w:type="dxa"/>
                        </w:tblCellMar>
                      </w:tblPr>
                      <w:tblGrid>
                        <w:gridCol w:w="5551"/>
                      </w:tblGrid>
                      <w:tr>
                        <w:trPr/>
                        <w:tc>
                          <w:tcPr>
                            <w:tcW w:w="55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caps/>
                                <w:sz w:val="24"/>
                              </w:rPr>
                              <w:t>AEON BIOPHARMA, Inc.</w:t>
                            </w:r>
                            <w:r>
                              <w:rPr>
                                <w:rFonts w:ascii="Times New Roman;Times;serif" w:hAnsi="Times New Roman;Times;serif"/>
                                <w:caps/>
                                <w:sz w:val="24"/>
                              </w:rPr>
                              <w:t xml:space="preserve"> </w:t>
                            </w:r>
                          </w:p>
                          <w:p>
                            <w:pPr>
                              <w:pStyle w:val="TableContents"/>
                              <w:bidi w:val="0"/>
                              <w:spacing w:before="0" w:after="480"/>
                              <w:ind w:left="0" w:right="0" w:hanging="0"/>
                              <w:jc w:val="left"/>
                              <w:rPr/>
                            </w:pPr>
                            <w:r>
                              <w:rPr/>
                              <w:t>​</w:t>
                            </w:r>
                          </w:p>
                          <w:p>
                            <w:pPr>
                              <w:pStyle w:val="TableContents"/>
                              <w:bidi w:val="0"/>
                              <w:spacing w:before="0" w:after="480"/>
                              <w:ind w:left="0" w:right="0" w:hanging="0"/>
                              <w:jc w:val="left"/>
                              <w:rPr/>
                            </w:pPr>
                            <w:r>
                              <w:rPr/>
                              <w:t>​</w:t>
                            </w:r>
                          </w:p>
                        </w:tc>
                      </w:tr>
                      <w:tr>
                        <w:trPr/>
                        <w:tc>
                          <w:tcPr>
                            <w:tcW w:w="555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By:__________________________________________</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ableContents"/>
                              <w:bidi w:val="0"/>
                              <w:spacing w:before="0" w:after="480"/>
                              <w:ind w:left="0" w:right="0" w:hanging="0"/>
                              <w:jc w:val="left"/>
                              <w:rPr/>
                            </w:pPr>
                            <w:r>
                              <w:rPr/>
                              <w:t>​</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17</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NOTICE OF EXERCISE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sz w:val="24"/>
        </w:rPr>
        <w:t>To:</w:t>
      </w:r>
      <w:r>
        <w:rPr>
          <w:rFonts w:ascii="Times New Roman;Times;serif" w:hAnsi="Times New Roman;Times;serif"/>
          <w:caps/>
          <w:sz w:val="24"/>
        </w:rPr>
        <w:t>AEON BIOPHARMA, Inc.</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(2)Payment shall take the form of (check applicable box):</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 in lawful money of the United States; or</w:t>
      </w:r>
    </w:p>
    <w:p>
      <w:pPr>
        <w:pStyle w:val="TextBody"/>
        <w:bidi w:val="0"/>
        <w:spacing w:before="0" w:after="240"/>
        <w:ind w:left="2160" w:right="0" w:hanging="0"/>
        <w:jc w:val="both"/>
        <w:rPr>
          <w:rFonts w:ascii="Times New Roman;Times;serif" w:hAnsi="Times New Roman;Times;serif"/>
          <w:sz w:val="24"/>
        </w:rPr>
      </w:pPr>
      <w:r>
        <w:rPr>
          <w:rFonts w:ascii="Times New Roman;Times;serif" w:hAnsi="Times New Roman;Times;serif"/>
          <w:sz w:val="24"/>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(3)Please issue said Warrant Shares in the name of the undersigned or in such other name as is specified below:</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_______________________________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Warrant Shares shall be delivered to the following DWAC Account Number: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_______________________________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_______________________________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_______________________________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caps/>
          <w:sz w:val="24"/>
        </w:rPr>
      </w:pPr>
      <w:r>
        <w:rPr>
          <w:rFonts w:ascii="Times New Roman;Times;serif" w:hAnsi="Times New Roman;Times;serif"/>
          <w:caps/>
          <w:sz w:val="24"/>
        </w:rPr>
        <w:t>[SIGNATURE OF HOLDER]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i/>
          <w:sz w:val="24"/>
        </w:rPr>
        <w:t>Signature of Authorized Signatory of Investing Entity</w:t>
      </w:r>
      <w:r>
        <w:rPr>
          <w:rFonts w:ascii="Times New Roman;Times;serif" w:hAnsi="Times New Roman;Times;serif"/>
          <w:sz w:val="24"/>
        </w:rPr>
        <w:t>: _________________________________________________</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Name of Authorized Signatory: ___________________________________________________________________</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Title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Date: ________________________________________________________________________________________</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firstLine="1440"/>
        <w:jc w:val="both"/>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val="false"/>
          <w:caps w:val="false"/>
          <w:smallCaps w:val="false"/>
          <w:sz w:val="24"/>
          <w:shd w:fill="FFFFFF" w:val="clear"/>
        </w:rPr>
      </w:pPr>
      <w:r>
        <w:rPr>
          <w:rFonts w:ascii="Times New Roman;Times;serif" w:hAnsi="Times New Roman;Times;serif"/>
          <w:b/>
          <w:i w:val="false"/>
          <w:caps w:val="false"/>
          <w:smallCaps w:val="false"/>
          <w:sz w:val="24"/>
          <w:shd w:fill="FFFFFF" w:val="clear"/>
        </w:rPr>
        <w:t>EXHIBIT B</w:t>
      </w:r>
      <w:r>
        <mc:AlternateContent>
          <mc:Choice Requires="wps">
            <w:drawing>
              <wp:anchor behindDoc="0" distT="0" distB="0" distL="0" distR="0" simplePos="0" locked="0" layoutInCell="1" allowOverlap="1" relativeHeight="24">
                <wp:simplePos x="0" y="0"/>
                <wp:positionH relativeFrom="page">
                  <wp:posOffset>0</wp:posOffset>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both"/>
        <w:rPr/>
      </w:pPr>
      <w:r>
        <w:rPr/>
        <w:t>​</w:t>
      </w:r>
    </w:p>
    <w:p>
      <w:pPr>
        <w:pStyle w:val="TextBody"/>
        <w:bidi w:val="0"/>
        <w:spacing w:before="0" w:after="0"/>
        <w:ind w:left="0" w:right="0" w:hanging="0"/>
        <w:jc w:val="both"/>
        <w:rPr/>
      </w:pPr>
      <w:bookmarkStart w:id="105" w:name="_DV_M891"/>
      <w:bookmarkEnd w:id="105"/>
      <w:r>
        <w:rPr/>
        <w:t>​</w:t>
      </w:r>
    </w:p>
    <w:p>
      <w:pPr>
        <w:pStyle w:val="TextBody"/>
        <w:bidi w:val="0"/>
        <w:spacing w:before="0" w:after="0"/>
        <w:ind w:left="0" w:right="0" w:hanging="0"/>
        <w:jc w:val="center"/>
        <w:rPr>
          <w:rFonts w:ascii="Times New Roman;Times;serif" w:hAnsi="Times New Roman;Times;serif"/>
          <w:b w:val="false"/>
          <w:sz w:val="24"/>
        </w:rPr>
      </w:pPr>
      <w:bookmarkStart w:id="106" w:name="_DV_M1611"/>
      <w:bookmarkEnd w:id="106"/>
      <w:r>
        <w:rPr>
          <w:rFonts w:ascii="Times New Roman;Times;serif" w:hAnsi="Times New Roman;Times;serif"/>
          <w:b w:val="false"/>
          <w:sz w:val="24"/>
        </w:rPr>
        <w:t>ASSIGNMENT FORM</w:t>
      </w:r>
    </w:p>
    <w:p>
      <w:pPr>
        <w:pStyle w:val="TextBody"/>
        <w:bidi w:val="0"/>
        <w:spacing w:before="0" w:after="120"/>
        <w:ind w:left="0" w:right="0" w:firstLine="210"/>
        <w:jc w:val="both"/>
        <w:rPr>
          <w:rFonts w:ascii="Times New Roman;Times;serif" w:hAnsi="Times New Roman;Times;serif"/>
          <w:i/>
          <w:sz w:val="24"/>
        </w:rPr>
      </w:pPr>
      <w:bookmarkStart w:id="107" w:name="_DV_M1621"/>
      <w:bookmarkEnd w:id="107"/>
      <w:r>
        <w:rPr>
          <w:rFonts w:ascii="Times New Roman;Times;serif" w:hAnsi="Times New Roman;Times;serif"/>
          <w:i/>
          <w:sz w:val="24"/>
        </w:rPr>
        <w:t>(To assign the foregoing Warrant, execute this form and supply required information.  Do not use this form to purchase shares.)</w:t>
      </w:r>
    </w:p>
    <w:p>
      <w:pPr>
        <w:pStyle w:val="TextBody"/>
        <w:bidi w:val="0"/>
        <w:spacing w:before="0" w:after="120"/>
        <w:ind w:left="0" w:right="0" w:firstLine="210"/>
        <w:jc w:val="both"/>
        <w:rPr>
          <w:rFonts w:ascii="Times New Roman;Times;serif" w:hAnsi="Times New Roman;Times;serif"/>
          <w:sz w:val="24"/>
        </w:rPr>
      </w:pPr>
      <w:bookmarkStart w:id="108" w:name="_DV_M1631"/>
      <w:bookmarkEnd w:id="108"/>
      <w:r>
        <w:rPr>
          <w:rFonts w:ascii="Times New Roman;Times;serif" w:hAnsi="Times New Roman;Times;serif"/>
          <w:sz w:val="24"/>
        </w:rPr>
        <w:t>FOR VALUE RECEIVED, the foregoing Warrant and all rights evidenced thereby are hereby assigned to</w:t>
      </w:r>
    </w:p>
    <w:tbl>
      <w:tblPr>
        <w:tblW w:w="8462" w:type="dxa"/>
        <w:jc w:val="left"/>
        <w:tblInd w:w="0" w:type="dxa"/>
        <w:tblLayout w:type="fixed"/>
        <w:tblCellMar>
          <w:top w:w="0" w:type="dxa"/>
          <w:left w:w="0" w:type="dxa"/>
          <w:bottom w:w="0" w:type="dxa"/>
          <w:right w:w="0" w:type="dxa"/>
        </w:tblCellMar>
      </w:tblPr>
      <w:tblGrid>
        <w:gridCol w:w="3751"/>
        <w:gridCol w:w="4711"/>
      </w:tblGrid>
      <w:tr>
        <w:trPr/>
        <w:tc>
          <w:tcPr>
            <w:tcW w:w="3751" w:type="dxa"/>
            <w:tcBorders/>
            <w:vAlign w:val="center"/>
          </w:tcPr>
          <w:p>
            <w:pPr>
              <w:pStyle w:val="TableContents"/>
              <w:bidi w:val="0"/>
              <w:spacing w:before="0" w:after="0"/>
              <w:ind w:left="0" w:right="0" w:hanging="0"/>
              <w:jc w:val="both"/>
              <w:rPr/>
            </w:pPr>
            <w:r>
              <w:rPr/>
              <w:t>​</w:t>
            </w:r>
          </w:p>
        </w:tc>
        <w:tc>
          <w:tcPr>
            <w:tcW w:w="4711" w:type="dxa"/>
            <w:tcBorders/>
            <w:vAlign w:val="center"/>
          </w:tcPr>
          <w:p>
            <w:pPr>
              <w:pStyle w:val="TableContents"/>
              <w:bidi w:val="0"/>
              <w:spacing w:before="0" w:after="0"/>
              <w:ind w:left="0" w:right="0" w:hanging="0"/>
              <w:jc w:val="both"/>
              <w:rPr/>
            </w:pPr>
            <w:r>
              <w:rPr/>
              <w:t>​</w:t>
            </w:r>
          </w:p>
        </w:tc>
      </w:tr>
      <w:tr>
        <w:trPr/>
        <w:tc>
          <w:tcPr>
            <w:tcW w:w="3751" w:type="dxa"/>
            <w:tcBorders/>
            <w:vAlign w:val="center"/>
          </w:tcPr>
          <w:p>
            <w:pPr>
              <w:pStyle w:val="TableContents"/>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Name:</w:t>
            </w:r>
          </w:p>
        </w:tc>
        <w:tc>
          <w:tcPr>
            <w:tcW w:w="4711" w:type="dxa"/>
            <w:tcBorders/>
            <w:vAlign w:val="center"/>
          </w:tcPr>
          <w:p>
            <w:pPr>
              <w:pStyle w:val="TableContents"/>
              <w:bidi w:val="0"/>
              <w:spacing w:lineRule="auto" w:line="328" w:before="0" w:after="0"/>
              <w:ind w:left="0" w:right="0" w:hanging="0"/>
              <w:jc w:val="both"/>
              <w:rPr/>
            </w:pPr>
            <w:r>
              <w:rPr>
                <w:u w:val="single"/>
              </w:rPr>
              <w:t>​ ​</w:t>
            </w:r>
            <w:r>
              <w:rPr/>
              <w:t>​</w:t>
            </w:r>
          </w:p>
        </w:tc>
      </w:tr>
      <w:tr>
        <w:trPr/>
        <w:tc>
          <w:tcPr>
            <w:tcW w:w="3751" w:type="dxa"/>
            <w:tcBorders/>
            <w:vAlign w:val="center"/>
          </w:tcPr>
          <w:p>
            <w:pPr>
              <w:pStyle w:val="TableContents"/>
              <w:bidi w:val="0"/>
              <w:spacing w:lineRule="auto" w:line="328" w:before="0" w:after="240"/>
              <w:ind w:left="0" w:right="0" w:hanging="0"/>
              <w:jc w:val="both"/>
              <w:rPr/>
            </w:pPr>
            <w:r>
              <w:rPr/>
              <w:t>​</w:t>
            </w:r>
          </w:p>
        </w:tc>
        <w:tc>
          <w:tcPr>
            <w:tcW w:w="471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(Please Print)</w:t>
            </w:r>
          </w:p>
        </w:tc>
      </w:tr>
      <w:tr>
        <w:trPr/>
        <w:tc>
          <w:tcPr>
            <w:tcW w:w="3751" w:type="dxa"/>
            <w:tcBorders/>
            <w:vAlign w:val="center"/>
          </w:tcPr>
          <w:p>
            <w:pPr>
              <w:pStyle w:val="TableContents"/>
              <w:bidi w:val="0"/>
              <w:spacing w:lineRule="auto" w:line="328" w:before="0" w:after="0"/>
              <w:ind w:left="0" w:right="0" w:hanging="0"/>
              <w:jc w:val="both"/>
              <w:rPr>
                <w:rFonts w:ascii="Times New Roman;Times;serif" w:hAnsi="Times New Roman;Times;serif"/>
                <w:sz w:val="24"/>
              </w:rPr>
            </w:pPr>
            <w:r>
              <w:rPr>
                <w:rFonts w:ascii="Times New Roman;Times;serif" w:hAnsi="Times New Roman;Times;serif"/>
                <w:sz w:val="24"/>
              </w:rPr>
              <w:t>Address:</w:t>
            </w:r>
          </w:p>
        </w:tc>
        <w:tc>
          <w:tcPr>
            <w:tcW w:w="4711" w:type="dxa"/>
            <w:tcBorders/>
            <w:vAlign w:val="center"/>
          </w:tcPr>
          <w:p>
            <w:pPr>
              <w:pStyle w:val="TableContents"/>
              <w:bidi w:val="0"/>
              <w:spacing w:lineRule="auto" w:line="328" w:before="0" w:after="0"/>
              <w:ind w:left="0" w:right="0" w:hanging="0"/>
              <w:jc w:val="both"/>
              <w:rPr/>
            </w:pPr>
            <w:r>
              <w:rPr>
                <w:u w:val="single"/>
              </w:rPr>
              <w:t>​ ​</w:t>
            </w:r>
            <w:r>
              <w:rPr/>
              <w:t>​</w:t>
            </w:r>
          </w:p>
        </w:tc>
      </w:tr>
      <w:tr>
        <w:trPr/>
        <w:tc>
          <w:tcPr>
            <w:tcW w:w="3751" w:type="dxa"/>
            <w:tcBorders/>
            <w:vAlign w:val="center"/>
          </w:tcPr>
          <w:p>
            <w:pPr>
              <w:pStyle w:val="TableContents"/>
              <w:bidi w:val="0"/>
              <w:spacing w:lineRule="auto" w:line="328" w:before="0" w:after="240"/>
              <w:ind w:left="0" w:right="0" w:hanging="0"/>
              <w:jc w:val="both"/>
              <w:rPr/>
            </w:pPr>
            <w:r>
              <w:rPr/>
              <w:t>​</w:t>
            </w:r>
          </w:p>
          <w:p>
            <w:pPr>
              <w:pStyle w:val="TableContents"/>
              <w:bidi w:val="0"/>
              <w:spacing w:lineRule="auto" w:line="328" w:before="0" w:after="240"/>
              <w:ind w:left="0" w:right="0" w:hanging="0"/>
              <w:jc w:val="both"/>
              <w:rPr>
                <w:rFonts w:ascii="Times New Roman;Times;serif" w:hAnsi="Times New Roman;Times;serif"/>
                <w:sz w:val="24"/>
              </w:rPr>
            </w:pPr>
            <w:bookmarkStart w:id="109" w:name="_DV_C1281"/>
            <w:bookmarkEnd w:id="109"/>
            <w:r>
              <w:rPr>
                <w:rFonts w:ascii="Times New Roman;Times;serif" w:hAnsi="Times New Roman;Times;serif"/>
                <w:sz w:val="24"/>
              </w:rPr>
              <w:t>Phone Number:</w:t>
            </w:r>
          </w:p>
          <w:p>
            <w:pPr>
              <w:pStyle w:val="TableContents"/>
              <w:bidi w:val="0"/>
              <w:spacing w:lineRule="auto" w:line="328" w:before="0" w:after="240"/>
              <w:ind w:left="0" w:right="0" w:hanging="0"/>
              <w:jc w:val="both"/>
              <w:rPr>
                <w:rFonts w:ascii="Times New Roman;Times;serif" w:hAnsi="Times New Roman;Times;serif"/>
                <w:sz w:val="24"/>
              </w:rPr>
            </w:pPr>
            <w:bookmarkStart w:id="110" w:name="_DV_C1291"/>
            <w:bookmarkEnd w:id="110"/>
            <w:r>
              <w:rPr>
                <w:rFonts w:ascii="Times New Roman;Times;serif" w:hAnsi="Times New Roman;Times;serif"/>
                <w:sz w:val="24"/>
              </w:rPr>
              <w:t xml:space="preserve">Email Address: </w:t>
            </w:r>
          </w:p>
        </w:tc>
        <w:tc>
          <w:tcPr>
            <w:tcW w:w="471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(Please Print)</w:t>
            </w:r>
          </w:p>
          <w:p>
            <w:pPr>
              <w:pStyle w:val="TableContents"/>
              <w:bidi w:val="0"/>
              <w:spacing w:lineRule="auto" w:line="328" w:before="0" w:after="240"/>
              <w:ind w:left="0" w:right="0" w:hanging="0"/>
              <w:jc w:val="both"/>
              <w:rPr>
                <w:rFonts w:ascii="Times New Roman;Times;serif" w:hAnsi="Times New Roman;Times;serif"/>
                <w:sz w:val="24"/>
              </w:rPr>
            </w:pPr>
            <w:bookmarkStart w:id="111" w:name="_DV_C1301"/>
            <w:bookmarkEnd w:id="111"/>
            <w:r>
              <w:rPr>
                <w:rFonts w:ascii="Times New Roman;Times;serif" w:hAnsi="Times New Roman;Times;serif"/>
                <w:sz w:val="24"/>
              </w:rPr>
              <w:t>______________________________________</w:t>
            </w:r>
          </w:p>
          <w:p>
            <w:pPr>
              <w:pStyle w:val="TableContents"/>
              <w:bidi w:val="0"/>
              <w:spacing w:lineRule="auto" w:line="328" w:before="0" w:after="240"/>
              <w:ind w:left="0" w:right="0" w:hanging="0"/>
              <w:jc w:val="both"/>
              <w:rPr>
                <w:rFonts w:ascii="Times New Roman;Times;serif" w:hAnsi="Times New Roman;Times;serif"/>
                <w:sz w:val="24"/>
              </w:rPr>
            </w:pPr>
            <w:bookmarkStart w:id="112" w:name="_DV_C1311"/>
            <w:bookmarkEnd w:id="112"/>
            <w:r>
              <w:rPr>
                <w:rFonts w:ascii="Times New Roman;Times;serif" w:hAnsi="Times New Roman;Times;serif"/>
                <w:sz w:val="24"/>
              </w:rPr>
              <w:t>______________________________________</w:t>
            </w:r>
          </w:p>
        </w:tc>
      </w:tr>
      <w:tr>
        <w:trPr/>
        <w:tc>
          <w:tcPr>
            <w:tcW w:w="375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Dated: _______________ __, ______</w:t>
            </w:r>
          </w:p>
        </w:tc>
        <w:tc>
          <w:tcPr>
            <w:tcW w:w="4711" w:type="dxa"/>
            <w:tcBorders/>
            <w:vAlign w:val="center"/>
          </w:tcPr>
          <w:p>
            <w:pPr>
              <w:pStyle w:val="TableContents"/>
              <w:bidi w:val="0"/>
              <w:spacing w:lineRule="auto" w:line="328" w:before="0" w:after="240"/>
              <w:ind w:left="0" w:right="0" w:hanging="0"/>
              <w:jc w:val="both"/>
              <w:rPr/>
            </w:pPr>
            <w:r>
              <w:rPr/>
              <w:t>​</w:t>
            </w:r>
          </w:p>
        </w:tc>
      </w:tr>
      <w:tr>
        <w:trPr/>
        <w:tc>
          <w:tcPr>
            <w:tcW w:w="3751" w:type="dxa"/>
            <w:tcBorders/>
            <w:vAlign w:val="center"/>
          </w:tcPr>
          <w:p>
            <w:pPr>
              <w:pStyle w:val="TableContents"/>
              <w:bidi w:val="0"/>
              <w:spacing w:lineRule="auto" w:line="328" w:before="0" w:after="240"/>
              <w:ind w:left="0" w:right="0" w:hanging="0"/>
              <w:jc w:val="both"/>
              <w:rPr>
                <w:rFonts w:ascii="Times New Roman;Times;serif" w:hAnsi="Times New Roman;Times;serif"/>
                <w:sz w:val="24"/>
              </w:rPr>
            </w:pPr>
            <w:r>
              <w:rPr>
                <w:rFonts w:ascii="Times New Roman;Times;serif" w:hAnsi="Times New Roman;Times;serif"/>
                <w:sz w:val="24"/>
              </w:rPr>
              <w:t>Holder’s Signature:</w:t>
            </w:r>
            <w:r>
              <w:rPr>
                <w:rFonts w:ascii="Times New Roman;Times;serif" w:hAnsi="Times New Roman;Times;serif"/>
                <w:sz w:val="24"/>
                <w:u w:val="single"/>
              </w:rPr>
              <w:t>​ ​</w:t>
            </w:r>
          </w:p>
        </w:tc>
        <w:tc>
          <w:tcPr>
            <w:tcW w:w="4711" w:type="dxa"/>
            <w:tcBorders/>
            <w:vAlign w:val="center"/>
          </w:tcPr>
          <w:p>
            <w:pPr>
              <w:pStyle w:val="TableContents"/>
              <w:bidi w:val="0"/>
              <w:spacing w:lineRule="auto" w:line="328" w:before="0" w:after="240"/>
              <w:ind w:left="0" w:right="0" w:hanging="0"/>
              <w:jc w:val="both"/>
              <w:rPr/>
            </w:pPr>
            <w:r>
              <w:rPr/>
              <w:t>​</w:t>
            </w:r>
          </w:p>
        </w:tc>
      </w:tr>
      <w:tr>
        <w:trPr/>
        <w:tc>
          <w:tcPr>
            <w:tcW w:w="3751" w:type="dxa"/>
            <w:tcBorders/>
            <w:vAlign w:val="center"/>
          </w:tcPr>
          <w:p>
            <w:pPr>
              <w:pStyle w:val="TableContents"/>
              <w:bidi w:val="0"/>
              <w:spacing w:lineRule="auto" w:line="328" w:before="0" w:after="600"/>
              <w:ind w:left="0" w:right="0" w:hanging="0"/>
              <w:jc w:val="both"/>
              <w:rPr>
                <w:rFonts w:ascii="Times New Roman;Times;serif" w:hAnsi="Times New Roman;Times;serif"/>
                <w:sz w:val="24"/>
              </w:rPr>
            </w:pPr>
            <w:r>
              <w:rPr>
                <w:rFonts w:ascii="Times New Roman;Times;serif" w:hAnsi="Times New Roman;Times;serif"/>
                <w:sz w:val="24"/>
              </w:rPr>
              <w:t>Holder’s Address:</w:t>
            </w:r>
            <w:r>
              <w:rPr>
                <w:rFonts w:ascii="Times New Roman;Times;serif" w:hAnsi="Times New Roman;Times;serif"/>
                <w:sz w:val="24"/>
                <w:u w:val="single"/>
              </w:rPr>
              <w:t>​ ​</w:t>
            </w:r>
          </w:p>
        </w:tc>
        <w:tc>
          <w:tcPr>
            <w:tcW w:w="4711" w:type="dxa"/>
            <w:tcBorders/>
            <w:vAlign w:val="center"/>
          </w:tcPr>
          <w:p>
            <w:pPr>
              <w:pStyle w:val="TableContents"/>
              <w:bidi w:val="0"/>
              <w:spacing w:lineRule="auto" w:line="328" w:before="0" w:after="600"/>
              <w:ind w:left="0" w:right="0" w:hanging="0"/>
              <w:jc w:val="both"/>
              <w:rPr/>
            </w:pPr>
            <w:r>
              <w:rPr/>
              <w:t>​</w:t>
            </w:r>
          </w:p>
        </w:tc>
      </w:tr>
    </w:tbl>
    <w:p>
      <w:pPr>
        <w:pStyle w:val="TextBody"/>
        <w:bidi w:val="0"/>
        <w:spacing w:before="0" w:after="0"/>
        <w:ind w:left="0" w:right="0" w:hanging="0"/>
        <w:jc w:val="both"/>
        <w:rPr/>
      </w:pPr>
      <w:r>
        <w:rPr/>
        <w:t>​</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113" w:name="aeon-20260713xex4d2.htm"/>
      <w:bookmarkStart w:id="114" w:name="ksaeon20260713xex4d2"/>
      <w:bookmarkEnd w:id="113"/>
      <w:bookmarkEnd w:id="114"/>
      <w:r>
        <w:rPr>
          <w:rFonts w:ascii="Times New Roman;Times;serif" w:hAnsi="Times New Roman;Times;serif"/>
          <w:sz w:val="20"/>
        </w:rPr>
        <w:t>Exhibit 4.2</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 TO PURCHASE COMMON STOCK OR PRE-FUNDED WARRANTS</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Shares: _______Issuance Date: July 15, 2026</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WARRANT (the “</w:t>
      </w:r>
      <w:r>
        <w:rPr>
          <w:rFonts w:ascii="Times New Roman;Times;serif" w:hAnsi="Times New Roman;Times;serif"/>
          <w:sz w:val="20"/>
          <w:u w:val="single"/>
        </w:rPr>
        <w:t>Warrant</w:t>
      </w:r>
      <w:r>
        <w:rPr>
          <w:rFonts w:ascii="Times New Roman;Times;serif" w:hAnsi="Times New Roman;Times;serif"/>
          <w:sz w:val="20"/>
        </w:rPr>
        <w:t>”) certifies that, for value received, [●]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July 15, 2026 (the “</w:t>
      </w:r>
      <w:r>
        <w:rPr>
          <w:rFonts w:ascii="Times New Roman;Times;serif" w:hAnsi="Times New Roman;Times;serif"/>
          <w:sz w:val="20"/>
          <w:u w:val="single"/>
        </w:rPr>
        <w:t>Initial Exercise Date</w:t>
      </w:r>
      <w:r>
        <w:rPr>
          <w:rFonts w:ascii="Times New Roman;Times;serif" w:hAnsi="Times New Roman;Times;serif"/>
          <w:sz w:val="20"/>
        </w:rPr>
        <w:t>”) and on or prior to the earliest of (x) 5:00 p.m. (New York City time) on July 15, 2028, and (y) 45 days after the Company's public announcement that the Company has received Type 2B meeting minutes from the FDA that do not preclude advancement of ABP-450 toward a Biologics License Application under the 351(k) biosimilar pathway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AEON Biopharma, Inc., a Delaware corporation (the “</w:t>
      </w:r>
      <w:r>
        <w:rPr>
          <w:rFonts w:ascii="Times New Roman;Times;serif" w:hAnsi="Times New Roman;Times;serif"/>
          <w:sz w:val="20"/>
          <w:u w:val="single"/>
        </w:rPr>
        <w:t>Company</w:t>
      </w:r>
      <w:r>
        <w:rPr>
          <w:rFonts w:ascii="Times New Roman;Times;serif" w:hAnsi="Times New Roman;Times;serif"/>
          <w:sz w:val="20"/>
        </w:rPr>
        <w:t>”), up to [●]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Section 1. </w:t>
      </w:r>
      <w:r>
        <w:rPr>
          <w:rFonts w:ascii="Times New Roman;Times;serif" w:hAnsi="Times New Roman;Times;serif"/>
          <w:sz w:val="20"/>
          <w:u w:val="single"/>
        </w:rPr>
        <w:t>Definitions</w:t>
      </w:r>
      <w:r>
        <w:rPr>
          <w:rFonts w:ascii="Times New Roman;Times;serif" w:hAnsi="Times New Roman;Times;serif"/>
          <w:sz w:val="20"/>
        </w:rPr>
        <w:t>.  In addition to the terms defined elsewhere in this Warrant, the following terms have the meanings indicated in this Section 1:</w:t>
      </w:r>
    </w:p>
    <w:p>
      <w:pPr>
        <w:pStyle w:val="TextBody"/>
        <w:pBdr/>
        <w:bidi w:val="0"/>
        <w:spacing w:before="0" w:after="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pBdr/>
        <w:bidi w:val="0"/>
        <w:spacing w:before="0" w:after="0"/>
        <w:ind w:left="0" w:right="0" w:firstLine="720"/>
        <w:jc w:val="both"/>
        <w:rPr/>
      </w:pPr>
      <w:r>
        <w:rPr/>
        <w:t>“</w:t>
      </w:r>
      <w:r>
        <w:rPr>
          <w:rFonts w:ascii="Times New Roman;Times;serif" w:hAnsi="Times New Roman;Times;serif"/>
          <w:sz w:val="20"/>
          <w:u w:val="single"/>
        </w:rPr>
        <w:t>Bid Price</w:t>
      </w:r>
      <w:r>
        <w:rPr>
          <w:rFonts w:ascii="Times New Roman;Times;serif" w:hAnsi="Times New Roman;Times;serif"/>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pBdr/>
        <w:bidi w:val="0"/>
        <w:spacing w:before="0" w:after="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pBdr/>
        <w:bidi w:val="0"/>
        <w:spacing w:before="0" w:after="0"/>
        <w:ind w:left="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pBdr/>
        <w:bidi w:val="0"/>
        <w:spacing w:before="0" w:after="0"/>
        <w:ind w:left="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Class A common stock of the Company, par value $0.0001 per share, and any other class of securities into which such securities may hereafter be reclassified or changed.</w:t>
      </w:r>
    </w:p>
    <w:p>
      <w:pPr>
        <w:pStyle w:val="TextBody"/>
        <w:pBdr/>
        <w:bidi w:val="0"/>
        <w:spacing w:before="0" w:after="0"/>
        <w:ind w:left="0" w:right="0" w:firstLine="720"/>
        <w:jc w:val="both"/>
        <w:rPr/>
      </w:pPr>
      <w:r>
        <w:rPr/>
        <w:t>“</w:t>
      </w:r>
      <w:r>
        <w:rPr>
          <w:rFonts w:ascii="Times New Roman;Times;serif" w:hAnsi="Times New Roman;Times;serif"/>
          <w:sz w:val="20"/>
          <w:u w:val="single"/>
        </w:rPr>
        <w:t>Common Stock Deemed Outstanding</w:t>
      </w:r>
      <w:r>
        <w:rPr>
          <w:rFonts w:ascii="Times New Roman;Times;serif" w:hAnsi="Times New Roman;Times;serif"/>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HorizontalLine"/>
        <w:pBdr>
          <w:bottom w:val="double" w:sz="2" w:space="0" w:color="808080"/>
        </w:pBdr>
        <w:bidi w:val="0"/>
        <w:spacing w:before="0" w:after="283"/>
        <w:jc w:val="left"/>
        <w:rPr/>
      </w:pPr>
      <w:r>
        <w:rPr/>
      </w:r>
    </w:p>
    <w:p>
      <w:pPr>
        <w:pStyle w:val="TextBody"/>
        <w:pBdr/>
        <w:bidi w:val="0"/>
        <w:spacing w:before="0" w:after="0"/>
        <w:ind w:left="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pBdr/>
        <w:bidi w:val="0"/>
        <w:spacing w:before="0" w:after="0"/>
        <w:ind w:left="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pBdr/>
        <w:bidi w:val="0"/>
        <w:spacing w:before="0" w:after="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pBdr/>
        <w:bidi w:val="0"/>
        <w:spacing w:before="0" w:after="0"/>
        <w:ind w:left="0" w:right="0" w:firstLine="720"/>
        <w:jc w:val="both"/>
        <w:rPr/>
      </w:pPr>
      <w:r>
        <w:rPr/>
        <w:t>“</w:t>
      </w:r>
      <w:r>
        <w:rPr>
          <w:rFonts w:ascii="Times New Roman;Times;serif" w:hAnsi="Times New Roman;Times;serif"/>
          <w:sz w:val="20"/>
          <w:u w:val="single"/>
        </w:rPr>
        <w:t>Pre-Funded Warrant</w:t>
      </w:r>
      <w:r>
        <w:rPr>
          <w:rFonts w:ascii="Times New Roman;Times;serif" w:hAnsi="Times New Roman;Times;serif"/>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sz w:val="20"/>
          <w:u w:val="single"/>
        </w:rPr>
        <w:t>Exhibit C</w:t>
      </w:r>
      <w:r>
        <w:rPr>
          <w:rFonts w:ascii="Times New Roman;Times;serif" w:hAnsi="Times New Roman;Times;serif"/>
          <w:sz w:val="20"/>
        </w:rPr>
        <w:t xml:space="preserve"> hereto.</w:t>
      </w:r>
    </w:p>
    <w:p>
      <w:pPr>
        <w:pStyle w:val="TextBody"/>
        <w:pBdr/>
        <w:bidi w:val="0"/>
        <w:spacing w:before="0" w:after="0"/>
        <w:ind w:left="0" w:right="0" w:firstLine="720"/>
        <w:jc w:val="both"/>
        <w:rPr/>
      </w:pPr>
      <w:r>
        <w:rPr/>
        <w:t>“</w:t>
      </w:r>
      <w:r>
        <w:rPr>
          <w:rFonts w:ascii="Times New Roman;Times;serif" w:hAnsi="Times New Roman;Times;serif"/>
          <w:sz w:val="20"/>
          <w:u w:val="single"/>
        </w:rPr>
        <w:t>Pre-Funded Warrant Exercise Price</w:t>
      </w:r>
      <w:r>
        <w:rPr>
          <w:rFonts w:ascii="Times New Roman;Times;serif" w:hAnsi="Times New Roman;Times;serif"/>
          <w:sz w:val="20"/>
        </w:rPr>
        <w:t>” means $0.0001 per share of Common Stock.</w:t>
      </w:r>
    </w:p>
    <w:p>
      <w:pPr>
        <w:pStyle w:val="TextBody"/>
        <w:pBdr/>
        <w:bidi w:val="0"/>
        <w:spacing w:before="0" w:after="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pBdr/>
        <w:bidi w:val="0"/>
        <w:spacing w:before="0" w:after="0"/>
        <w:ind w:left="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Common Stock is traded on a Trading Market.</w:t>
      </w:r>
    </w:p>
    <w:p>
      <w:pPr>
        <w:pStyle w:val="TextBody"/>
        <w:pBdr/>
        <w:bidi w:val="0"/>
        <w:spacing w:before="0" w:after="0"/>
        <w:ind w:left="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pBdr/>
        <w:bidi w:val="0"/>
        <w:spacing w:before="0" w:after="0"/>
        <w:ind w:left="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Continental Stock Transfer &amp; Trust Company, the current transfer agent of the Company, with a mailing address of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Maria Vaz, and an e-mail address of mvaz@continentalstock.com</w:t>
      </w:r>
      <w:r>
        <w:rPr>
          <w:rFonts w:ascii="Times New Roman;Times;serif" w:hAnsi="Times New Roman;Times;serif"/>
          <w:color w:val="002060"/>
          <w:sz w:val="20"/>
        </w:rPr>
        <w:t>,</w:t>
      </w:r>
      <w:r>
        <w:rPr>
          <w:rFonts w:ascii="Times New Roman;Times;serif" w:hAnsi="Times New Roman;Times;serif"/>
          <w:sz w:val="20"/>
        </w:rPr>
        <w:t xml:space="preserve"> and any successor transfer agent of the Company.</w:t>
      </w:r>
    </w:p>
    <w:p>
      <w:pPr>
        <w:pStyle w:val="TextBody"/>
        <w:bidi w:val="0"/>
        <w:spacing w:before="0" w:after="240"/>
        <w:ind w:left="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240"/>
        <w:ind w:left="0" w:right="0" w:firstLine="720"/>
        <w:jc w:val="both"/>
        <w:rPr/>
      </w:pPr>
      <w:r>
        <w:rPr/>
        <w:t>“</w:t>
      </w:r>
      <w:r>
        <w:rPr>
          <w:rFonts w:ascii="Times New Roman;Times;serif" w:hAnsi="Times New Roman;Times;serif"/>
          <w:sz w:val="20"/>
          <w:u w:val="single"/>
        </w:rPr>
        <w:t>Warrant Agency Agreement</w:t>
      </w:r>
      <w:r>
        <w:rPr>
          <w:rFonts w:ascii="Times New Roman;Times;serif" w:hAnsi="Times New Roman;Times;serif"/>
          <w:sz w:val="20"/>
        </w:rPr>
        <w:t>” means that certain warrant agency agreement, dated on or about the Initial Exercise Date, between the Company and the Warrant Agent.</w:t>
      </w:r>
    </w:p>
    <w:p>
      <w:pPr>
        <w:pStyle w:val="TextBody"/>
        <w:bidi w:val="0"/>
        <w:spacing w:before="0" w:after="240"/>
        <w:ind w:left="0" w:right="0" w:firstLine="720"/>
        <w:jc w:val="both"/>
        <w:rPr/>
      </w:pPr>
      <w:r>
        <w:rPr/>
        <w:t>“</w:t>
      </w:r>
      <w:r>
        <w:rPr>
          <w:rFonts w:ascii="Times New Roman;Times;serif" w:hAnsi="Times New Roman;Times;serif"/>
          <w:sz w:val="20"/>
          <w:u w:val="single"/>
        </w:rPr>
        <w:t>Warrant Agent</w:t>
      </w:r>
      <w:r>
        <w:rPr>
          <w:rFonts w:ascii="Times New Roman;Times;serif" w:hAnsi="Times New Roman;Times;serif"/>
          <w:sz w:val="20"/>
        </w:rPr>
        <w:t>” means the Transfer Agent and any successor warrant agent of the Company.</w:t>
      </w:r>
    </w:p>
    <w:p>
      <w:pPr>
        <w:pStyle w:val="TextBody"/>
        <w:pBdr/>
        <w:bidi w:val="0"/>
        <w:spacing w:before="0" w:after="0"/>
        <w:ind w:left="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means this Warrant and other warrants to purchase Common Stock issued by the Company in the offering in which this Warrant was 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2. </w:t>
      </w:r>
      <w:r>
        <w:rPr>
          <w:rFonts w:ascii="Times New Roman;Times;serif" w:hAnsi="Times New Roman;Times;serif"/>
          <w:sz w:val="20"/>
          <w:u w:val="single"/>
        </w:rPr>
        <w:t>Exercise</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Exercise of Warrant</w:t>
      </w:r>
      <w:r>
        <w:rPr>
          <w:rFonts w:ascii="Times New Roman;Times;serif" w:hAnsi="Times New Roman;Times;serif"/>
          <w:sz w:val="20"/>
        </w:rPr>
        <w:t xml:space="preserve">.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e-mail attachment) of the Notice of Exercise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sz w:val="20"/>
          <w:u w:val="single"/>
        </w:rPr>
        <w:t>Notice of Exercise</w:t>
      </w:r>
      <w:r>
        <w:rPr>
          <w:rFonts w:ascii="Times New Roman;Times;serif" w:hAnsi="Times New Roman;Times;serif"/>
          <w:sz w:val="20"/>
        </w:rPr>
        <w:t>”). 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sz w:val="20"/>
          <w:u w:val="single"/>
        </w:rPr>
        <w:t>Warrant Share Delivery Date</w:t>
      </w:r>
      <w:r>
        <w:rPr>
          <w:rFonts w:ascii="Times New Roman;Times;serif" w:hAnsi="Times New Roman;Times;serif"/>
          <w:sz w:val="20"/>
        </w:rPr>
        <w:t>”),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Exercise Price</w:t>
      </w:r>
      <w:r>
        <w:rPr>
          <w:rFonts w:ascii="Times New Roman;Times;serif" w:hAnsi="Times New Roman;Times;serif"/>
          <w:sz w:val="20"/>
        </w:rPr>
        <w:t>.  The exercise price per share of Common Stock under this Warrant shall be $0.3221, subject to adjustment hereunder (the “</w:t>
      </w:r>
      <w:r>
        <w:rPr>
          <w:rFonts w:ascii="Times New Roman;Times;serif" w:hAnsi="Times New Roman;Times;serif"/>
          <w:sz w:val="20"/>
          <w:u w:val="single"/>
        </w:rPr>
        <w:t>Exercise Price</w:t>
      </w:r>
      <w:r>
        <w:rPr>
          <w:rFonts w:ascii="Times New Roman;Times;serif" w:hAnsi="Times New Roman;Times;serif"/>
          <w:sz w:val="20"/>
        </w:rPr>
        <w:t>”).  In the event this Warrant is exercised for Pre-Funded Warrants, the exercise price per Pre-Funded Warrant under this Warrant shall be $0.3220, which represents the Exercise Price minus the Pre-Funded Warrant Exercise Price, subject to adjustment 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Cashless Exercise</w:t>
      </w:r>
      <w:r>
        <w:rPr>
          <w:rFonts w:ascii="Times New Roman;Times;serif" w:hAnsi="Times New Roman;Times;serif"/>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pBdr/>
        <w:bidi w:val="0"/>
        <w:spacing w:before="0" w:after="0"/>
        <w:ind w:left="1980" w:right="0" w:hanging="0"/>
        <w:jc w:val="both"/>
        <w:rPr>
          <w:rFonts w:ascii="Times New Roman;Times;serif" w:hAnsi="Times New Roman;Times;serif"/>
          <w:sz w:val="20"/>
        </w:rPr>
      </w:pPr>
      <w:r>
        <w:rPr>
          <w:rFonts w:ascii="Times New Roman;Times;serif" w:hAnsi="Times New Roman;Times;serif"/>
          <w:sz w:val="20"/>
        </w:rPr>
        <w:t>VWAP on the date of the applicable Notice of Exercise if the date of such Notice of Exercise is a Trading Day and such Notice of Exercise is both executed and delivered pursuant to Section 2(a) hereof after the close of “regular trading hours” on such Trading Day;</w:t>
      </w:r>
    </w:p>
    <w:tbl>
      <w:tblPr>
        <w:tblW w:w="5493" w:type="dxa"/>
        <w:jc w:val="left"/>
        <w:tblInd w:w="0" w:type="dxa"/>
        <w:tblLayout w:type="fixed"/>
        <w:tblCellMar>
          <w:top w:w="0" w:type="dxa"/>
          <w:left w:w="0" w:type="dxa"/>
          <w:bottom w:w="0" w:type="dxa"/>
          <w:right w:w="0" w:type="dxa"/>
        </w:tblCellMar>
      </w:tblPr>
      <w:tblGrid>
        <w:gridCol w:w="23"/>
        <w:gridCol w:w="32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 xml:space="preserve">(B) </w:t>
            </w:r>
          </w:p>
        </w:tc>
        <w:tc>
          <w:tcPr>
            <w:tcW w:w="515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 the Exercise Price of this Warrant, as adjusted hereunder; and </w:t>
            </w:r>
          </w:p>
        </w:tc>
      </w:tr>
    </w:tbl>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(X) </w:t>
            </w:r>
          </w:p>
        </w:tc>
        <w:tc>
          <w:tcPr>
            <w:tcW w:w="99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Mechanics of Exercise</w:t>
      </w:r>
      <w:r>
        <w:rPr>
          <w:rFonts w:ascii="Times New Roman;Times;serif" w:hAnsi="Times New Roman;Times;serif"/>
          <w:sz w:val="20"/>
        </w:rPr>
        <w:t xml:space="preserve">. </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sz w:val="20"/>
          <w:u w:val="single"/>
        </w:rPr>
        <w:t>DTC</w:t>
      </w:r>
      <w:r>
        <w:rPr>
          <w:rFonts w:ascii="Times New Roman;Times;serif" w:hAnsi="Times New Roman;Times;serif"/>
          <w:sz w:val="20"/>
        </w:rPr>
        <w:t>”)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sz w:val="20"/>
          <w:u w:val="single"/>
        </w:rPr>
        <w:t>Warrant Share Delivery Date</w:t>
      </w:r>
      <w:r>
        <w:rPr>
          <w:rFonts w:ascii="Times New Roman;Times;serif" w:hAnsi="Times New Roman;Times;serif"/>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Delivery of Pre-Funded Warrants Upon Exercise</w:t>
      </w:r>
      <w:r>
        <w:rPr>
          <w:rFonts w:ascii="Times New Roman;Times;serif" w:hAnsi="Times New Roman;Times;serif"/>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sz w:val="20"/>
          <w:u w:val="single"/>
        </w:rPr>
        <w:t>Pre-Funded Warrant Delivery Date</w:t>
      </w:r>
      <w:r>
        <w:rPr>
          <w:rFonts w:ascii="Times New Roman;Times;serif" w:hAnsi="Times New Roman;Times;serif"/>
          <w:sz w:val="20"/>
        </w:rPr>
        <w:t>”).</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v. </w:t>
      </w:r>
      <w:r>
        <w:rPr>
          <w:rFonts w:ascii="Times New Roman;Times;serif" w:hAnsi="Times New Roman;Times;serif"/>
          <w:sz w:val="20"/>
          <w:u w:val="single"/>
        </w:rPr>
        <w:t>Compensation for Buy-In on Failure to Timely Deliver Warrant Shares Upon Exercise</w:t>
      </w:r>
      <w:r>
        <w:rPr>
          <w:rFonts w:ascii="Times New Roman;Times;serif" w:hAnsi="Times New Roman;Times;serif"/>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0"/>
          <w:u w:val="single"/>
        </w:rPr>
        <w:t>Buy-In</w:t>
      </w:r>
      <w:r>
        <w:rPr>
          <w:rFonts w:ascii="Times New Roman;Times;serif" w:hAnsi="Times New Roman;Times;serif"/>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vi. </w:t>
      </w:r>
      <w:r>
        <w:rPr>
          <w:rFonts w:ascii="Times New Roman;Times;serif" w:hAnsi="Times New Roman;Times;serif"/>
          <w:sz w:val="20"/>
          <w:u w:val="single"/>
        </w:rPr>
        <w:t>No Fractional Shares or Scrip</w:t>
      </w:r>
      <w:r>
        <w:rPr>
          <w:rFonts w:ascii="Times New Roman;Times;serif" w:hAnsi="Times New Roman;Times;serif"/>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vii. </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sz w:val="20"/>
          <w:u w:val="single"/>
        </w:rPr>
        <w:t>Exhibit B</w:t>
      </w:r>
      <w:r>
        <w:rPr>
          <w:rFonts w:ascii="Times New Roman;Times;serif" w:hAnsi="Times New Roman;Times;serif"/>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before="0" w:after="240"/>
        <w:ind w:left="2180" w:right="0" w:firstLine="720"/>
        <w:jc w:val="both"/>
        <w:rPr>
          <w:rFonts w:ascii="Times New Roman;Times;serif" w:hAnsi="Times New Roman;Times;serif"/>
          <w:sz w:val="20"/>
        </w:rPr>
      </w:pPr>
      <w:r>
        <w:rPr>
          <w:rFonts w:ascii="Times New Roman;Times;serif" w:hAnsi="Times New Roman;Times;serif"/>
          <w:sz w:val="20"/>
        </w:rPr>
        <w:t>viii. </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sz w:val="20"/>
          <w:u w:val="single"/>
        </w:rPr>
        <w:t>Attribution Parties</w:t>
      </w:r>
      <w:r>
        <w:rPr>
          <w:rFonts w:ascii="Times New Roman;Times;serif" w:hAnsi="Times New Roman;Times;serif"/>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w:t>
      </w:r>
      <w:r>
        <w:rPr>
          <w:rFonts w:ascii="Times New Roman;Times;serif" w:hAnsi="Times New Roman;Times;serif"/>
          <w:sz w:val="20"/>
          <w:u w:val="single"/>
        </w:rPr>
        <w:t>Beneficial Ownership Limitation</w:t>
      </w:r>
      <w:r>
        <w:rPr>
          <w:rFonts w:ascii="Times New Roman;Times;serif" w:hAnsi="Times New Roman;Times;serif"/>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sz w:val="15"/>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3. </w:t>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Stock Dividends and Splits</w:t>
      </w:r>
      <w:r>
        <w:rPr>
          <w:rFonts w:ascii="Times New Roman;Times;serif" w:hAnsi="Times New Roman;Times;serif"/>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 </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Fundamental Transaction</w:t>
      </w:r>
      <w:r>
        <w:rPr>
          <w:rFonts w:ascii="Times New Roman;Times;serif" w:hAnsi="Times New Roman;Times;serif"/>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sz w:val="20"/>
          <w:u w:val="single"/>
        </w:rPr>
        <w:t>Fundamental Transaction</w:t>
      </w:r>
      <w:r>
        <w:rPr>
          <w:rFonts w:ascii="Times New Roman;Times;serif" w:hAnsi="Times New Roman;Times;serif"/>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w:t>
      </w:r>
      <w:r>
        <w:rPr>
          <w:rFonts w:ascii="Times New Roman;Times;serif" w:hAnsi="Times New Roman;Times;serif"/>
          <w:sz w:val="20"/>
          <w:shd w:fill="FFFFFF" w:val="clear"/>
        </w:rPr>
        <w:t xml:space="preserve"> </w:t>
      </w:r>
      <w:r>
        <w:rPr>
          <w:rFonts w:ascii="Times New Roman;Times;serif" w:hAnsi="Times New Roman;Times;serif"/>
          <w:sz w:val="20"/>
        </w:rPr>
        <w:t xml:space="preserve">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sz w:val="20"/>
          <w:u w:val="single"/>
        </w:rPr>
        <w:t>Black Scholes Value</w:t>
      </w:r>
      <w:r>
        <w:rPr>
          <w:rFonts w:ascii="Times New Roman;Times;serif" w:hAnsi="Times New Roman;Times;serif"/>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Notice to Holder</w:t>
      </w:r>
      <w:r>
        <w:rPr>
          <w:rFonts w:ascii="Times New Roman;Times;serif" w:hAnsi="Times New Roman;Times;serif"/>
          <w:sz w:val="20"/>
        </w:rPr>
        <w:t>.  </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Adjustment to Exercise Price</w:t>
      </w:r>
      <w:r>
        <w:rPr>
          <w:rFonts w:ascii="Times New Roman;Times;serif" w:hAnsi="Times New Roman;Times;serif"/>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Notice to Allow Exercise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sz w:val="20"/>
          <w:u w:val="single"/>
        </w:rPr>
        <w:t>provided</w:t>
      </w:r>
      <w:r>
        <w:rPr>
          <w:rFonts w:ascii="Times New Roman;Times;serif" w:hAnsi="Times New Roman;Times;serif"/>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Certain Events</w:t>
      </w:r>
      <w:r>
        <w:rPr>
          <w:rFonts w:ascii="Times New Roman;Times;serif" w:hAnsi="Times New Roman;Times;serif"/>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4. </w:t>
      </w:r>
      <w:r>
        <w:rPr>
          <w:rFonts w:ascii="Times New Roman;Times;serif" w:hAnsi="Times New Roman;Times;serif"/>
          <w:sz w:val="20"/>
          <w:u w:val="single"/>
        </w:rPr>
        <w:t>Transfer of Warrant</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Transferability</w:t>
      </w:r>
      <w:r>
        <w:rPr>
          <w:rFonts w:ascii="Times New Roman;Times;serif" w:hAnsi="Times New Roman;Times;serif"/>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New Warrants.</w:t>
      </w:r>
      <w:r>
        <w:rPr>
          <w:rFonts w:ascii="Times New Roman;Times;serif" w:hAnsi="Times New Roman;Times;serif"/>
          <w:sz w:val="20"/>
        </w:rPr>
        <w:t xml:space="preserve"> 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Warrant Register</w:t>
      </w:r>
      <w:r>
        <w:rPr>
          <w:rFonts w:ascii="Times New Roman;Times;serif" w:hAnsi="Times New Roman;Times;serif"/>
          <w:sz w:val="20"/>
        </w:rPr>
        <w:t>. The Warrant Agent shall register this Warrant, upon records to be maintained by the Warrant Agent for that purpose (the “</w:t>
      </w:r>
      <w:r>
        <w:rPr>
          <w:rFonts w:ascii="Times New Roman;Times;serif" w:hAnsi="Times New Roman;Times;serif"/>
          <w:sz w:val="20"/>
          <w:u w:val="single"/>
        </w:rPr>
        <w:t>Warrant Register</w:t>
      </w:r>
      <w:r>
        <w:rPr>
          <w:rFonts w:ascii="Times New Roman;Times;serif" w:hAnsi="Times New Roman;Times;serif"/>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Representation by the Holder</w:t>
      </w:r>
      <w:r>
        <w:rPr>
          <w:rFonts w:ascii="Times New Roman;Times;serif" w:hAnsi="Times New Roman;Times;serif"/>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5.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No Rights as Stockholder Until Exercise</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Authorized Shares</w:t>
      </w:r>
      <w:r>
        <w:rPr>
          <w:rFonts w:ascii="Times New Roman;Times;serif" w:hAnsi="Times New Roman;Times;serif"/>
          <w:sz w:val="20"/>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Governing Law</w:t>
      </w:r>
      <w:r>
        <w:rPr>
          <w:rFonts w:ascii="Times New Roman;Times;serif" w:hAnsi="Times New Roman;Times;serif"/>
          <w:sz w:val="20"/>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John Bencich, e-mail address: [***], or such other e-mail address or address as the Company may specify for such purposes by notice to the Holders; and addressed to the Warrant Agent, at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Henry Farrell, email address: hfarrell@continentalstock.com or such other e-mail address or address as the Warrant Agent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j) </w:t>
      </w:r>
      <w:r>
        <w:rPr>
          <w:rFonts w:ascii="Times New Roman;Times;serif" w:hAnsi="Times New Roman;Times;serif"/>
          <w:sz w:val="20"/>
          <w:u w:val="single"/>
        </w:rPr>
        <w:t>Remedies</w:t>
      </w:r>
      <w:r>
        <w:rPr>
          <w:rFonts w:ascii="Times New Roman;Times;serif" w:hAnsi="Times New Roman;Times;serif"/>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k) </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l) </w:t>
      </w:r>
      <w:r>
        <w:rPr>
          <w:rFonts w:ascii="Times New Roman;Times;serif" w:hAnsi="Times New Roman;Times;serif"/>
          <w:sz w:val="20"/>
          <w:u w:val="single"/>
        </w:rPr>
        <w:t>Amendment</w:t>
      </w:r>
      <w:r>
        <w:rPr>
          <w:rFonts w:ascii="Times New Roman;Times;serif" w:hAnsi="Times New Roman;Times;serif"/>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m) </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n) </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spacing w:before="0" w:after="240"/>
        <w:ind w:left="727" w:right="0" w:firstLine="720"/>
        <w:jc w:val="both"/>
        <w:rPr>
          <w:rFonts w:ascii="Times New Roman;Times;serif" w:hAnsi="Times New Roman;Times;serif"/>
          <w:sz w:val="20"/>
        </w:rPr>
      </w:pPr>
      <w:r>
        <w:rPr>
          <w:rFonts w:ascii="Times New Roman;Times;serif" w:hAnsi="Times New Roman;Times;serif"/>
          <w:sz w:val="20"/>
        </w:rPr>
        <w:t>o) </w:t>
      </w:r>
      <w:r>
        <w:rPr>
          <w:rFonts w:ascii="Times New Roman;Times;serif" w:hAnsi="Times New Roman;Times;serif"/>
          <w:sz w:val="20"/>
          <w:u w:val="single"/>
        </w:rPr>
        <w:t>Warrant Agency Agreement</w:t>
      </w:r>
      <w:r>
        <w:rPr>
          <w:rFonts w:ascii="Times New Roman;Times;serif" w:hAnsi="Times New Roman;Times;serif"/>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pBdr/>
        <w:bidi w:val="0"/>
        <w:spacing w:before="0" w:after="0"/>
        <w:ind w:left="0" w:right="0" w:hanging="0"/>
        <w:jc w:val="center"/>
        <w:rPr/>
      </w:pPr>
      <w:r>
        <w:rPr/>
        <w:t> </w:t>
      </w:r>
    </w:p>
    <w:p>
      <w:pPr>
        <w:pStyle w:val="TextBody"/>
        <w:pBdr/>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pBdr/>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center"/>
        <w:rPr/>
      </w:pPr>
      <w:r>
        <w:rPr/>
        <w:t>​</w:t>
      </w:r>
    </w:p>
    <w:p>
      <w:pPr>
        <w:pStyle w:val="TextBody"/>
        <w:pBdr/>
        <w:bidi w:val="0"/>
        <w:spacing w:before="0" w:after="0"/>
        <w:ind w:left="0" w:right="0" w:hanging="0"/>
        <w:jc w:val="left"/>
        <w:rPr/>
      </w:pPr>
      <w:r>
        <w:rPr/>
        <w:t>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p>
      <w:pPr>
        <w:pStyle w:val="TextBody"/>
        <w:pBdr/>
        <w:bidi w:val="0"/>
        <w:spacing w:before="0" w:after="0"/>
        <w:ind w:left="0" w:right="0" w:hanging="0"/>
        <w:jc w:val="both"/>
        <w:rPr/>
      </w:pPr>
      <w:r>
        <w:rPr/>
        <w:t>​</w:t>
      </w:r>
    </w:p>
    <w:tbl>
      <w:tblPr>
        <w:tblW w:w="3721" w:type="dxa"/>
        <w:jc w:val="left"/>
        <w:tblInd w:w="0" w:type="dxa"/>
        <w:tblLayout w:type="fixed"/>
        <w:tblCellMar>
          <w:top w:w="0" w:type="dxa"/>
          <w:left w:w="0" w:type="dxa"/>
          <w:bottom w:w="0" w:type="dxa"/>
          <w:right w:w="0" w:type="dxa"/>
        </w:tblCellMar>
      </w:tblPr>
      <w:tblGrid>
        <w:gridCol w:w="3721"/>
      </w:tblGrid>
      <w:tr>
        <w:trPr/>
        <w:tc>
          <w:tcPr>
            <w:tcW w:w="3721" w:type="dxa"/>
            <w:tcBorders/>
            <w:vAlign w:val="center"/>
          </w:tcPr>
          <w:p>
            <w:pPr>
              <w:pStyle w:val="TableContents"/>
              <w:pBdr/>
              <w:bidi w:val="0"/>
              <w:spacing w:before="0" w:after="0"/>
              <w:ind w:left="5040" w:right="0" w:hanging="0"/>
              <w:jc w:val="left"/>
              <w:rPr>
                <w:rFonts w:ascii="Times New Roman;Times;serif" w:hAnsi="Times New Roman;Times;serif"/>
                <w:b/>
                <w:caps/>
                <w:sz w:val="20"/>
              </w:rPr>
            </w:pPr>
            <w:r>
              <w:rPr>
                <w:rFonts w:ascii="Times New Roman;Times;serif" w:hAnsi="Times New Roman;Times;serif"/>
                <w:b/>
                <w:caps/>
                <w:sz w:val="20"/>
              </w:rPr>
              <w:t>AEON Biopharma, INC.</w:t>
            </w:r>
          </w:p>
          <w:p>
            <w:pPr>
              <w:pStyle w:val="TableContents"/>
              <w:pBdr/>
              <w:bidi w:val="0"/>
              <w:spacing w:before="0" w:after="0"/>
              <w:ind w:left="5040" w:right="0" w:hanging="0"/>
              <w:jc w:val="left"/>
              <w:rPr/>
            </w:pPr>
            <w:r>
              <w:rPr/>
              <w:t> </w:t>
            </w:r>
          </w:p>
          <w:p>
            <w:pPr>
              <w:pStyle w:val="TableContents"/>
              <w:pBdr/>
              <w:bidi w:val="0"/>
              <w:spacing w:before="0" w:after="0"/>
              <w:ind w:left="0" w:right="0" w:hanging="0"/>
              <w:jc w:val="left"/>
              <w:rPr/>
            </w:pPr>
            <w:r>
              <w:rPr/>
              <w:t> </w:t>
            </w:r>
          </w:p>
        </w:tc>
      </w:tr>
      <w:tr>
        <w:trPr/>
        <w:tc>
          <w:tcPr>
            <w:tcW w:w="3721" w:type="dxa"/>
            <w:tcBorders/>
            <w:vAlign w:val="center"/>
          </w:tcPr>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By:_______________________________</w:t>
            </w:r>
          </w:p>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Name:</w:t>
            </w:r>
          </w:p>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Title:</w:t>
            </w:r>
          </w:p>
          <w:p>
            <w:pPr>
              <w:pStyle w:val="TableContents"/>
              <w:pBdr/>
              <w:bidi w:val="0"/>
              <w:spacing w:before="0" w:after="0"/>
              <w:ind w:left="5040" w:right="0" w:hanging="0"/>
              <w:jc w:val="left"/>
              <w:rPr/>
            </w:pPr>
            <w:r>
              <w:rPr/>
              <w:t> </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7920" w:right="0" w:hanging="0"/>
        <w:jc w:val="left"/>
        <w:rPr>
          <w:rFonts w:ascii="Times New Roman;Times;serif" w:hAnsi="Times New Roman;Times;serif"/>
          <w:b/>
          <w:sz w:val="20"/>
        </w:rPr>
      </w:pPr>
      <w:r>
        <w:rPr>
          <w:rFonts w:ascii="Times New Roman;Times;serif" w:hAnsi="Times New Roman;Times;serif"/>
          <w:b/>
          <w:sz w:val="20"/>
        </w:rPr>
        <w:t>EXHIBIT A</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OF EXERCISE</w:t>
      </w:r>
    </w:p>
    <w:p>
      <w:pPr>
        <w:pStyle w:val="TextBody"/>
        <w:pBdr/>
        <w:bidi w:val="0"/>
        <w:spacing w:before="0" w:after="0"/>
        <w:ind w:left="0" w:right="0" w:hanging="0"/>
        <w:jc w:val="center"/>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0"/>
        </w:rPr>
        <w:t>To:</w:t>
      </w:r>
      <w:r>
        <w:rPr>
          <w:rFonts w:ascii="Times New Roman;Times;serif" w:hAnsi="Times New Roman;Times;serif"/>
          <w:caps/>
          <w:sz w:val="20"/>
        </w:rPr>
        <w:t>AEON BioPharma, inc.</w:t>
      </w:r>
    </w:p>
    <w:p>
      <w:pPr>
        <w:pStyle w:val="TextBody"/>
        <w:pBdr/>
        <w:bidi w:val="0"/>
        <w:spacing w:before="0" w:after="0"/>
        <w:ind w:left="0" w:right="0" w:hanging="0"/>
        <w:jc w:val="both"/>
        <w:rPr/>
      </w:pPr>
      <w:r>
        <w:rPr/>
        <w:t> </w:t>
      </w:r>
    </w:p>
    <w:p>
      <w:pPr>
        <w:pStyle w:val="TextBody"/>
        <w:pBdr/>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(1) The undersigned hereby elects to purchase ________ [Warrant Shares][Pre-Funded Warrants] of the Company pursuant to the terms of the attached Warrant (only if exercised in full), and tenders herewith payment of the exercise price in full, together with all applicable transfer taxes, if any.</w:t>
      </w:r>
    </w:p>
    <w:p>
      <w:pPr>
        <w:pStyle w:val="TextBody"/>
        <w:pBdr/>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(2) Payment shall take the form of (check applicable box):</w:t>
      </w:r>
    </w:p>
    <w:p>
      <w:pPr>
        <w:pStyle w:val="TextBody"/>
        <w:pBdr/>
        <w:bidi w:val="0"/>
        <w:spacing w:before="0" w:after="0"/>
        <w:ind w:left="2160" w:right="0" w:hanging="0"/>
        <w:jc w:val="both"/>
        <w:rPr/>
      </w:pPr>
      <w:r>
        <w:rPr/>
        <w:t xml:space="preserve">☐ </w:t>
      </w:r>
      <w:r>
        <w:rPr>
          <w:rFonts w:ascii="Times New Roman;Times;serif" w:hAnsi="Times New Roman;Times;serif"/>
          <w:sz w:val="20"/>
        </w:rPr>
        <w:t>in lawful money of the United States; or </w:t>
      </w:r>
    </w:p>
    <w:p>
      <w:pPr>
        <w:pStyle w:val="TextBody"/>
        <w:pBdr/>
        <w:bidi w:val="0"/>
        <w:spacing w:before="0" w:after="0"/>
        <w:ind w:left="2160" w:right="0" w:hanging="0"/>
        <w:jc w:val="both"/>
        <w:rPr/>
      </w:pPr>
      <w:r>
        <w:rPr/>
        <w:t xml:space="preserve">☐ </w:t>
      </w:r>
      <w:r>
        <w:rPr>
          <w:rFonts w:ascii="Times New Roman;Times;serif" w:hAnsi="Times New Roman;Times;serif"/>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(3) Please issue said [Warrant Shares][Pre-Funded Warrants] in the name of the undersigned or in such other name as is specified below:</w:t>
      </w:r>
    </w:p>
    <w:p>
      <w:pPr>
        <w:pStyle w:val="TextBody"/>
        <w:pBdr/>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permitted by the terms of the Warrant, the Warrant Shares shall be delivered to the following DWAC Account Number:</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 </w:t>
      </w:r>
    </w:p>
    <w:p>
      <w:pPr>
        <w:pStyle w:val="TextBody"/>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(4) The undersigned is an “accredited investor” as defined in Regulation D promulgated under the Securities Act of 1933, as amended.</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caps/>
          <w:sz w:val="20"/>
        </w:rPr>
      </w:pPr>
      <w:r>
        <w:rPr>
          <w:rFonts w:ascii="Times New Roman;Times;serif" w:hAnsi="Times New Roman;Times;serif"/>
          <w:caps/>
          <w:sz w:val="20"/>
        </w:rPr>
        <w:t>[SIGNATURE OF HOLDER]</w:t>
      </w:r>
    </w:p>
    <w:p>
      <w:pPr>
        <w:pStyle w:val="TextBody"/>
        <w:pBdr/>
        <w:bidi w:val="0"/>
        <w:spacing w:before="0" w:after="0"/>
        <w:ind w:left="0" w:right="0" w:hanging="0"/>
        <w:jc w:val="both"/>
        <w:rPr/>
      </w:pPr>
      <w:r>
        <w:rPr/>
        <w:t>​</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Name of Investing Entity: _______________________________________________________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i/>
          <w:sz w:val="20"/>
        </w:rPr>
        <w:t>Signature of Authorized Signatory of Investing Entity</w:t>
      </w:r>
      <w:r>
        <w:rPr>
          <w:rFonts w:ascii="Times New Roman;Times;serif" w:hAnsi="Times New Roman;Times;serif"/>
          <w:sz w:val="20"/>
        </w:rPr>
        <w:t>: 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Name of Authorized Signatory: 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Title of Authorized Signatory: ____________________________________________________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Date: ________________________________________________________________________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7920" w:right="0" w:hanging="0"/>
        <w:jc w:val="left"/>
        <w:rPr>
          <w:rFonts w:ascii="Times New Roman;Times;serif" w:hAnsi="Times New Roman;Times;serif"/>
          <w:b/>
          <w:sz w:val="20"/>
        </w:rPr>
      </w:pPr>
      <w:r>
        <w:rPr>
          <w:rFonts w:ascii="Times New Roman;Times;serif" w:hAnsi="Times New Roman;Times;serif"/>
          <w:b/>
          <w:sz w:val="20"/>
        </w:rPr>
        <w:t>EXHIBIT B</w:t>
      </w:r>
    </w:p>
    <w:p>
      <w:pPr>
        <w:pStyle w:val="TextBody"/>
        <w:pBdr/>
        <w:bidi w:val="0"/>
        <w:spacing w:lineRule="auto" w:line="429"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ASSIGNMENT FORM</w:t>
      </w:r>
    </w:p>
    <w:p>
      <w:pPr>
        <w:pStyle w:val="TextBody"/>
        <w:pBdr/>
        <w:bidi w:val="0"/>
        <w:spacing w:before="0" w:after="0"/>
        <w:ind w:left="0" w:right="0" w:hanging="0"/>
        <w:jc w:val="both"/>
        <w:rPr/>
      </w:pPr>
      <w:r>
        <w:rPr/>
        <w:t> </w:t>
      </w:r>
    </w:p>
    <w:p>
      <w:pPr>
        <w:pStyle w:val="TextBody"/>
        <w:pBdr/>
        <w:bidi w:val="0"/>
        <w:spacing w:before="0" w:after="0"/>
        <w:ind w:left="0" w:right="0" w:firstLine="210"/>
        <w:jc w:val="both"/>
        <w:rPr>
          <w:rFonts w:ascii="Times New Roman;Times;serif" w:hAnsi="Times New Roman;Times;serif"/>
          <w:i/>
          <w:sz w:val="20"/>
        </w:rPr>
      </w:pPr>
      <w:r>
        <w:rPr>
          <w:rFonts w:ascii="Times New Roman;Times;serif" w:hAnsi="Times New Roman;Times;serif"/>
          <w:i/>
          <w:sz w:val="20"/>
        </w:rPr>
        <w:t>(To assign the foregoing Warrant, execute this form and supply required information.  Do not use this form to purchase shares.)</w:t>
      </w:r>
    </w:p>
    <w:p>
      <w:pPr>
        <w:pStyle w:val="TextBody"/>
        <w:pBdr/>
        <w:bidi w:val="0"/>
        <w:spacing w:before="0" w:after="0"/>
        <w:ind w:left="0" w:right="0" w:firstLine="210"/>
        <w:jc w:val="both"/>
        <w:rPr>
          <w:rFonts w:ascii="Times New Roman;Times;serif" w:hAnsi="Times New Roman;Times;serif"/>
          <w:sz w:val="20"/>
        </w:rPr>
      </w:pPr>
      <w:bookmarkStart w:id="115" w:name="_DV_M1632"/>
      <w:bookmarkEnd w:id="115"/>
      <w:r>
        <w:rPr>
          <w:rFonts w:ascii="Times New Roman;Times;serif" w:hAnsi="Times New Roman;Times;serif"/>
          <w:sz w:val="20"/>
        </w:rPr>
        <w:t>FOR VALUE RECEIVED, the foregoing Warrant and all rights evidenced thereby are hereby assigned to</w:t>
      </w:r>
    </w:p>
    <w:p>
      <w:pPr>
        <w:pStyle w:val="TextBody"/>
        <w:bidi w:val="0"/>
        <w:spacing w:before="0" w:after="120"/>
        <w:ind w:left="0" w:right="0" w:firstLine="210"/>
        <w:jc w:val="both"/>
        <w:rPr/>
      </w:pPr>
      <w:r>
        <w:rPr/>
        <w:t>​</w:t>
      </w:r>
    </w:p>
    <w:tbl>
      <w:tblPr>
        <w:tblW w:w="7397" w:type="dxa"/>
        <w:jc w:val="left"/>
        <w:tblInd w:w="0" w:type="dxa"/>
        <w:tblLayout w:type="fixed"/>
        <w:tblCellMar>
          <w:top w:w="0" w:type="dxa"/>
          <w:left w:w="0" w:type="dxa"/>
          <w:bottom w:w="0" w:type="dxa"/>
          <w:right w:w="0" w:type="dxa"/>
        </w:tblCellMar>
      </w:tblPr>
      <w:tblGrid>
        <w:gridCol w:w="3256"/>
        <w:gridCol w:w="4141"/>
      </w:tblGrid>
      <w:tr>
        <w:trPr/>
        <w:tc>
          <w:tcPr>
            <w:tcW w:w="325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lineRule="auto" w:line="328" w:before="0" w:after="240"/>
              <w:ind w:left="0" w:right="0" w:hanging="0"/>
              <w:jc w:val="left"/>
              <w:rPr/>
            </w:pPr>
            <w:r>
              <w:rPr/>
              <w:t>​</w:t>
            </w:r>
          </w:p>
        </w:tc>
        <w:tc>
          <w:tcPr>
            <w:tcW w:w="4141" w:type="dxa"/>
            <w:tcBorders/>
            <w:vAlign w:val="center"/>
          </w:tcPr>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(Please Print)</w:t>
            </w:r>
          </w:p>
        </w:tc>
      </w:tr>
      <w:tr>
        <w:trPr/>
        <w:tc>
          <w:tcPr>
            <w:tcW w:w="325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pBdr/>
              <w:bidi w:val="0"/>
              <w:spacing w:lineRule="auto" w:line="328" w:before="0" w:after="0"/>
              <w:ind w:left="0" w:right="0" w:hanging="0"/>
              <w:jc w:val="left"/>
              <w:rPr/>
            </w:pPr>
            <w:r>
              <w:rPr/>
              <w:t>​</w:t>
            </w:r>
          </w:p>
          <w:p>
            <w:pPr>
              <w:pStyle w:val="TableContents"/>
              <w:pBdr/>
              <w:bidi w:val="0"/>
              <w:spacing w:lineRule="auto" w:line="328" w:before="0" w:after="0"/>
              <w:ind w:left="0" w:right="0" w:hanging="0"/>
              <w:jc w:val="left"/>
              <w:rPr>
                <w:rFonts w:ascii="Times New Roman;Times;serif" w:hAnsi="Times New Roman;Times;serif"/>
                <w:sz w:val="20"/>
              </w:rPr>
            </w:pPr>
            <w:bookmarkStart w:id="116" w:name="_DV_C1282"/>
            <w:bookmarkEnd w:id="116"/>
            <w:r>
              <w:rPr>
                <w:rFonts w:ascii="Times New Roman;Times;serif" w:hAnsi="Times New Roman;Times;serif"/>
                <w:sz w:val="20"/>
              </w:rPr>
              <w:t>Phone Number:</w:t>
            </w:r>
          </w:p>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 xml:space="preserve">Email Address: </w:t>
            </w:r>
          </w:p>
        </w:tc>
        <w:tc>
          <w:tcPr>
            <w:tcW w:w="414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(Please Print)</w:t>
            </w:r>
          </w:p>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w:t>
            </w:r>
          </w:p>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______________________________________</w:t>
            </w:r>
          </w:p>
        </w:tc>
      </w:tr>
      <w:tr>
        <w:trPr/>
        <w:tc>
          <w:tcPr>
            <w:tcW w:w="3256" w:type="dxa"/>
            <w:tcBorders/>
            <w:vAlign w:val="center"/>
          </w:tcPr>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Dated: _______________ __, ______</w:t>
            </w:r>
          </w:p>
        </w:tc>
        <w:tc>
          <w:tcPr>
            <w:tcW w:w="4141" w:type="dxa"/>
            <w:tcBorders/>
            <w:vAlign w:val="center"/>
          </w:tcPr>
          <w:p>
            <w:pPr>
              <w:pStyle w:val="TableContents"/>
              <w:bidi w:val="0"/>
              <w:spacing w:lineRule="auto" w:line="328" w:before="0" w:after="240"/>
              <w:ind w:left="0" w:right="0" w:hanging="0"/>
              <w:jc w:val="left"/>
              <w:rPr/>
            </w:pPr>
            <w:r>
              <w:rPr/>
              <w:t>​</w:t>
            </w:r>
          </w:p>
        </w:tc>
      </w:tr>
      <w:tr>
        <w:trPr/>
        <w:tc>
          <w:tcPr>
            <w:tcW w:w="3256" w:type="dxa"/>
            <w:tcBorders/>
            <w:vAlign w:val="center"/>
          </w:tcPr>
          <w:p>
            <w:pPr>
              <w:pStyle w:val="TableContents"/>
              <w:bidi w:val="0"/>
              <w:spacing w:lineRule="auto" w:line="328" w:before="0" w:after="240"/>
              <w:ind w:left="0" w:right="0" w:hanging="0"/>
              <w:jc w:val="both"/>
              <w:rPr>
                <w:rFonts w:ascii="Times New Roman;Times;serif" w:hAnsi="Times New Roman;Times;serif"/>
                <w:sz w:val="20"/>
              </w:rPr>
            </w:pPr>
            <w:r>
              <w:rPr>
                <w:rFonts w:ascii="Times New Roman;Times;serif" w:hAnsi="Times New Roman;Times;serif"/>
                <w:sz w:val="20"/>
              </w:rPr>
              <w:t>Holder’s Signature:</w:t>
            </w:r>
            <w:r>
              <w:rPr>
                <w:rFonts w:ascii="Times New Roman;Times;serif" w:hAnsi="Times New Roman;Times;serif"/>
                <w:sz w:val="20"/>
                <w:u w:val="single"/>
              </w:rPr>
              <w:t>​ ​</w:t>
            </w:r>
          </w:p>
        </w:tc>
        <w:tc>
          <w:tcPr>
            <w:tcW w:w="4141" w:type="dxa"/>
            <w:tcBorders/>
            <w:vAlign w:val="center"/>
          </w:tcPr>
          <w:p>
            <w:pPr>
              <w:pStyle w:val="TableContents"/>
              <w:bidi w:val="0"/>
              <w:spacing w:lineRule="auto" w:line="328" w:before="0" w:after="240"/>
              <w:ind w:left="0" w:right="0" w:hanging="0"/>
              <w:jc w:val="left"/>
              <w:rPr/>
            </w:pPr>
            <w:r>
              <w:rPr/>
              <w:t>​</w:t>
            </w:r>
          </w:p>
        </w:tc>
      </w:tr>
      <w:tr>
        <w:trPr/>
        <w:tc>
          <w:tcPr>
            <w:tcW w:w="3256" w:type="dxa"/>
            <w:tcBorders/>
            <w:vAlign w:val="center"/>
          </w:tcPr>
          <w:p>
            <w:pPr>
              <w:pStyle w:val="TableContents"/>
              <w:bidi w:val="0"/>
              <w:spacing w:lineRule="auto" w:line="328" w:before="0" w:after="600"/>
              <w:ind w:left="0" w:right="0" w:hanging="0"/>
              <w:jc w:val="both"/>
              <w:rPr>
                <w:rFonts w:ascii="Times New Roman;Times;serif" w:hAnsi="Times New Roman;Times;serif"/>
                <w:sz w:val="20"/>
              </w:rPr>
            </w:pPr>
            <w:r>
              <w:rPr>
                <w:rFonts w:ascii="Times New Roman;Times;serif" w:hAnsi="Times New Roman;Times;serif"/>
                <w:sz w:val="20"/>
              </w:rPr>
              <w:t>Holder’s Address:</w:t>
            </w:r>
            <w:r>
              <w:rPr>
                <w:rFonts w:ascii="Times New Roman;Times;serif" w:hAnsi="Times New Roman;Times;serif"/>
                <w:sz w:val="20"/>
                <w:u w:val="single"/>
              </w:rPr>
              <w:t>​ ​</w:t>
            </w:r>
          </w:p>
        </w:tc>
        <w:tc>
          <w:tcPr>
            <w:tcW w:w="4141" w:type="dxa"/>
            <w:tcBorders/>
            <w:vAlign w:val="center"/>
          </w:tcPr>
          <w:p>
            <w:pPr>
              <w:pStyle w:val="TableContents"/>
              <w:bidi w:val="0"/>
              <w:spacing w:lineRule="auto" w:line="328" w:before="0" w:after="600"/>
              <w:ind w:left="0" w:right="0" w:hanging="0"/>
              <w:jc w:val="left"/>
              <w:rPr/>
            </w:pPr>
            <w:r>
              <w:rPr/>
              <w:t>​</w:t>
            </w:r>
          </w:p>
        </w:tc>
      </w:tr>
    </w:tbl>
    <w:p>
      <w:pPr>
        <w:pStyle w:val="TextBody"/>
        <w:pBdr/>
        <w:bidi w:val="0"/>
        <w:spacing w:before="0" w:after="0"/>
        <w:ind w:left="0" w:right="0" w:hanging="0"/>
        <w:jc w:val="left"/>
        <w:rPr/>
      </w:pPr>
      <w:r>
        <w:rPr/>
        <w:t> </w:t>
      </w:r>
    </w:p>
    <w:p>
      <w:pPr>
        <w:pStyle w:val="TextBody"/>
        <w:pBdr/>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OF PRE-FUNDED WARRANT</w:t>
      </w:r>
    </w:p>
    <w:p>
      <w:pPr>
        <w:pStyle w:val="TextBody"/>
        <w:pBdr/>
        <w:bidi w:val="0"/>
        <w:spacing w:before="0" w:after="0"/>
        <w:ind w:left="0" w:right="0" w:hanging="0"/>
        <w:jc w:val="left"/>
        <w:rPr/>
      </w:pPr>
      <w:r>
        <w:rPr/>
        <w:t> </w:t>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[To be Attached]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117" w:name="aeon-20260713xex4d3.htm"/>
      <w:bookmarkStart w:id="118" w:name="ksaeon20260713xex4d3"/>
      <w:bookmarkEnd w:id="117"/>
      <w:bookmarkEnd w:id="118"/>
      <w:r>
        <w:rPr>
          <w:rFonts w:ascii="Times New Roman;Times;serif" w:hAnsi="Times New Roman;Times;serif"/>
          <w:sz w:val="20"/>
        </w:rPr>
        <w:t>Exhibit 4.3</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 TO PURCHASE COMMON STOCK OR PRE-FUNDED WARRANTS</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Shares: _______Issuance Date: July 15, 2026</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WARRANT (the “</w:t>
      </w:r>
      <w:r>
        <w:rPr>
          <w:rFonts w:ascii="Times New Roman;Times;serif" w:hAnsi="Times New Roman;Times;serif"/>
          <w:sz w:val="20"/>
          <w:u w:val="single"/>
        </w:rPr>
        <w:t>Warrant</w:t>
      </w:r>
      <w:r>
        <w:rPr>
          <w:rFonts w:ascii="Times New Roman;Times;serif" w:hAnsi="Times New Roman;Times;serif"/>
          <w:sz w:val="20"/>
        </w:rPr>
        <w:t>”) certifies that, for value received, [●]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July 15, 2026 (the “</w:t>
      </w:r>
      <w:r>
        <w:rPr>
          <w:rFonts w:ascii="Times New Roman;Times;serif" w:hAnsi="Times New Roman;Times;serif"/>
          <w:sz w:val="20"/>
          <w:u w:val="single"/>
        </w:rPr>
        <w:t>Initial Exercise Date</w:t>
      </w:r>
      <w:r>
        <w:rPr>
          <w:rFonts w:ascii="Times New Roman;Times;serif" w:hAnsi="Times New Roman;Times;serif"/>
          <w:sz w:val="20"/>
        </w:rPr>
        <w:t>”) and on or prior to the earliest of (x) 5:00 p.m. (New York City time) on July 15, 2031, and (y) 45 days following the Company's public announcement of the initiation of a Phase 3 clinical equivalence trial of ABP-450 as a Botox® biosimilar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AEON Biopharma, Inc., a Delaware corporation (the “</w:t>
      </w:r>
      <w:r>
        <w:rPr>
          <w:rFonts w:ascii="Times New Roman;Times;serif" w:hAnsi="Times New Roman;Times;serif"/>
          <w:sz w:val="20"/>
          <w:u w:val="single"/>
        </w:rPr>
        <w:t>Company</w:t>
      </w:r>
      <w:r>
        <w:rPr>
          <w:rFonts w:ascii="Times New Roman;Times;serif" w:hAnsi="Times New Roman;Times;serif"/>
          <w:sz w:val="20"/>
        </w:rPr>
        <w:t>”), up to [●]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ind w:left="0" w:right="0" w:firstLine="720"/>
        <w:jc w:val="both"/>
        <w:rPr>
          <w:rFonts w:ascii="Times New Roman;Times;serif" w:hAnsi="Times New Roman;Times;serif"/>
          <w:sz w:val="20"/>
        </w:rPr>
      </w:pPr>
      <w:r>
        <w:rPr>
          <w:rFonts w:ascii="Times New Roman;Times;serif" w:hAnsi="Times New Roman;Times;serif"/>
          <w:sz w:val="20"/>
        </w:rPr>
        <w:t>Section 1. </w:t>
      </w:r>
      <w:r>
        <w:rPr>
          <w:rFonts w:ascii="Times New Roman;Times;serif" w:hAnsi="Times New Roman;Times;serif"/>
          <w:sz w:val="20"/>
          <w:u w:val="single"/>
        </w:rPr>
        <w:t>Definitions</w:t>
      </w:r>
      <w:r>
        <w:rPr>
          <w:rFonts w:ascii="Times New Roman;Times;serif" w:hAnsi="Times New Roman;Times;serif"/>
          <w:sz w:val="20"/>
        </w:rPr>
        <w:t>.  In addition to the terms defined elsewhere in this Warrant, the following terms have the meanings indicated in this Section 1:</w:t>
      </w:r>
    </w:p>
    <w:p>
      <w:pPr>
        <w:pStyle w:val="TextBody"/>
        <w:pBdr/>
        <w:bidi w:val="0"/>
        <w:spacing w:before="0" w:after="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pBdr/>
        <w:bidi w:val="0"/>
        <w:spacing w:before="0" w:after="0"/>
        <w:ind w:left="0" w:right="0" w:firstLine="720"/>
        <w:jc w:val="both"/>
        <w:rPr/>
      </w:pPr>
      <w:r>
        <w:rPr/>
        <w:t>“</w:t>
      </w:r>
      <w:r>
        <w:rPr>
          <w:rFonts w:ascii="Times New Roman;Times;serif" w:hAnsi="Times New Roman;Times;serif"/>
          <w:sz w:val="20"/>
          <w:u w:val="single"/>
        </w:rPr>
        <w:t>Bid Price</w:t>
      </w:r>
      <w:r>
        <w:rPr>
          <w:rFonts w:ascii="Times New Roman;Times;serif" w:hAnsi="Times New Roman;Times;serif"/>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pBdr/>
        <w:bidi w:val="0"/>
        <w:spacing w:before="0" w:after="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pBdr/>
        <w:bidi w:val="0"/>
        <w:spacing w:before="0" w:after="0"/>
        <w:ind w:left="0" w:right="0" w:firstLine="720"/>
        <w:jc w:val="both"/>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pBdr/>
        <w:bidi w:val="0"/>
        <w:spacing w:before="0" w:after="0"/>
        <w:ind w:left="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Class A common stock of the Company, par value $0.0001 per share, and any other class of securities into which such securities may hereafter be reclassified or changed.</w:t>
      </w:r>
    </w:p>
    <w:p>
      <w:pPr>
        <w:pStyle w:val="TextBody"/>
        <w:pBdr/>
        <w:bidi w:val="0"/>
        <w:spacing w:before="0" w:after="0"/>
        <w:ind w:left="0" w:right="0" w:firstLine="720"/>
        <w:jc w:val="both"/>
        <w:rPr/>
      </w:pPr>
      <w:r>
        <w:rPr/>
        <w:t>“</w:t>
      </w:r>
      <w:r>
        <w:rPr>
          <w:rFonts w:ascii="Times New Roman;Times;serif" w:hAnsi="Times New Roman;Times;serif"/>
          <w:sz w:val="20"/>
          <w:u w:val="single"/>
        </w:rPr>
        <w:t>Common Stock Deemed Outstanding</w:t>
      </w:r>
      <w:r>
        <w:rPr>
          <w:rFonts w:ascii="Times New Roman;Times;serif" w:hAnsi="Times New Roman;Times;serif"/>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HorizontalLine"/>
        <w:pBdr>
          <w:bottom w:val="double" w:sz="2" w:space="0" w:color="808080"/>
        </w:pBdr>
        <w:bidi w:val="0"/>
        <w:spacing w:before="0" w:after="283"/>
        <w:jc w:val="left"/>
        <w:rPr/>
      </w:pPr>
      <w:r>
        <w:rPr/>
      </w:r>
    </w:p>
    <w:p>
      <w:pPr>
        <w:pStyle w:val="TextBody"/>
        <w:pBdr/>
        <w:bidi w:val="0"/>
        <w:spacing w:before="0" w:after="0"/>
        <w:ind w:left="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pBdr/>
        <w:bidi w:val="0"/>
        <w:spacing w:before="0" w:after="0"/>
        <w:ind w:left="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pBdr/>
        <w:bidi w:val="0"/>
        <w:spacing w:before="0" w:after="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pBdr/>
        <w:bidi w:val="0"/>
        <w:spacing w:before="0" w:after="0"/>
        <w:ind w:left="0" w:right="0" w:firstLine="720"/>
        <w:jc w:val="both"/>
        <w:rPr/>
      </w:pPr>
      <w:r>
        <w:rPr/>
        <w:t>“</w:t>
      </w:r>
      <w:r>
        <w:rPr>
          <w:rFonts w:ascii="Times New Roman;Times;serif" w:hAnsi="Times New Roman;Times;serif"/>
          <w:sz w:val="20"/>
          <w:u w:val="single"/>
        </w:rPr>
        <w:t>Pre-Funded Warrant</w:t>
      </w:r>
      <w:r>
        <w:rPr>
          <w:rFonts w:ascii="Times New Roman;Times;serif" w:hAnsi="Times New Roman;Times;serif"/>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sz w:val="20"/>
          <w:u w:val="single"/>
        </w:rPr>
        <w:t>Exhibit C</w:t>
      </w:r>
      <w:r>
        <w:rPr>
          <w:rFonts w:ascii="Times New Roman;Times;serif" w:hAnsi="Times New Roman;Times;serif"/>
          <w:sz w:val="20"/>
        </w:rPr>
        <w:t xml:space="preserve"> hereto.</w:t>
      </w:r>
    </w:p>
    <w:p>
      <w:pPr>
        <w:pStyle w:val="TextBody"/>
        <w:pBdr/>
        <w:bidi w:val="0"/>
        <w:spacing w:before="0" w:after="0"/>
        <w:ind w:left="0" w:right="0" w:firstLine="720"/>
        <w:jc w:val="both"/>
        <w:rPr/>
      </w:pPr>
      <w:r>
        <w:rPr/>
        <w:t>“</w:t>
      </w:r>
      <w:r>
        <w:rPr>
          <w:rFonts w:ascii="Times New Roman;Times;serif" w:hAnsi="Times New Roman;Times;serif"/>
          <w:sz w:val="20"/>
          <w:u w:val="single"/>
        </w:rPr>
        <w:t>Pre-Funded Warrant Exercise Price</w:t>
      </w:r>
      <w:r>
        <w:rPr>
          <w:rFonts w:ascii="Times New Roman;Times;serif" w:hAnsi="Times New Roman;Times;serif"/>
          <w:sz w:val="20"/>
        </w:rPr>
        <w:t>” means $0.0001 per share of Common Stock.</w:t>
      </w:r>
    </w:p>
    <w:p>
      <w:pPr>
        <w:pStyle w:val="TextBody"/>
        <w:pBdr/>
        <w:bidi w:val="0"/>
        <w:spacing w:before="0" w:after="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pBdr/>
        <w:bidi w:val="0"/>
        <w:spacing w:before="0" w:after="0"/>
        <w:ind w:left="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Common Stock is traded on a Trading Market.</w:t>
      </w:r>
    </w:p>
    <w:p>
      <w:pPr>
        <w:pStyle w:val="TextBody"/>
        <w:pBdr/>
        <w:bidi w:val="0"/>
        <w:spacing w:before="0" w:after="0"/>
        <w:ind w:left="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pBdr/>
        <w:bidi w:val="0"/>
        <w:spacing w:before="0" w:after="0"/>
        <w:ind w:left="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Continental Stock Transfer &amp; Trust Company, the current transfer agent of the Company, with a mailing address of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Maria Vaz, and an e-mail address of mvaz@continentalstock.com</w:t>
      </w:r>
      <w:r>
        <w:rPr>
          <w:rFonts w:ascii="Times New Roman;Times;serif" w:hAnsi="Times New Roman;Times;serif"/>
          <w:color w:val="002060"/>
          <w:sz w:val="20"/>
        </w:rPr>
        <w:t>,</w:t>
      </w:r>
      <w:r>
        <w:rPr>
          <w:rFonts w:ascii="Times New Roman;Times;serif" w:hAnsi="Times New Roman;Times;serif"/>
          <w:sz w:val="20"/>
        </w:rPr>
        <w:t xml:space="preserve"> and any successor transfer agent of the Company.</w:t>
      </w:r>
    </w:p>
    <w:p>
      <w:pPr>
        <w:pStyle w:val="TextBody"/>
        <w:bidi w:val="0"/>
        <w:spacing w:before="0" w:after="240"/>
        <w:ind w:left="0" w:right="0" w:firstLine="720"/>
        <w:jc w:val="both"/>
        <w:rPr/>
      </w:pPr>
      <w:r>
        <w:rPr/>
        <w:t>“</w:t>
      </w:r>
      <w:r>
        <w:rPr>
          <w:rFonts w:ascii="Times New Roman;Times;serif" w:hAnsi="Times New Roman;Times;serif"/>
          <w:sz w:val="20"/>
          <w:u w:val="single"/>
        </w:rPr>
        <w:t>VWAP</w:t>
      </w:r>
      <w:r>
        <w:rPr>
          <w:rFonts w:ascii="Times New Roman;Times;serif" w:hAnsi="Times New Roman;Times;serif"/>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240"/>
        <w:ind w:left="0" w:right="0" w:firstLine="720"/>
        <w:jc w:val="both"/>
        <w:rPr/>
      </w:pPr>
      <w:r>
        <w:rPr/>
        <w:t>“</w:t>
      </w:r>
      <w:r>
        <w:rPr>
          <w:rFonts w:ascii="Times New Roman;Times;serif" w:hAnsi="Times New Roman;Times;serif"/>
          <w:sz w:val="20"/>
          <w:u w:val="single"/>
        </w:rPr>
        <w:t>Warrant Agency Agreement</w:t>
      </w:r>
      <w:r>
        <w:rPr>
          <w:rFonts w:ascii="Times New Roman;Times;serif" w:hAnsi="Times New Roman;Times;serif"/>
          <w:sz w:val="20"/>
        </w:rPr>
        <w:t>” means that certain warrant agency agreement, dated on or about the Initial Exercise Date, between the Company and the Warrant Agent.</w:t>
      </w:r>
    </w:p>
    <w:p>
      <w:pPr>
        <w:pStyle w:val="TextBody"/>
        <w:bidi w:val="0"/>
        <w:spacing w:before="0" w:after="240"/>
        <w:ind w:left="0" w:right="0" w:firstLine="720"/>
        <w:jc w:val="both"/>
        <w:rPr/>
      </w:pPr>
      <w:r>
        <w:rPr/>
        <w:t>“</w:t>
      </w:r>
      <w:r>
        <w:rPr>
          <w:rFonts w:ascii="Times New Roman;Times;serif" w:hAnsi="Times New Roman;Times;serif"/>
          <w:sz w:val="20"/>
          <w:u w:val="single"/>
        </w:rPr>
        <w:t>Warrant Agent</w:t>
      </w:r>
      <w:r>
        <w:rPr>
          <w:rFonts w:ascii="Times New Roman;Times;serif" w:hAnsi="Times New Roman;Times;serif"/>
          <w:sz w:val="20"/>
        </w:rPr>
        <w:t>” means the Transfer Agent and any successor warrant agent of the Company.</w:t>
      </w:r>
    </w:p>
    <w:p>
      <w:pPr>
        <w:pStyle w:val="TextBody"/>
        <w:pBdr/>
        <w:bidi w:val="0"/>
        <w:spacing w:before="0" w:after="0"/>
        <w:ind w:left="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means this Warrant and other warrants to purchase Common Stock issued by the Company in the offering in which this Warrant was issued.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2. </w:t>
      </w:r>
      <w:r>
        <w:rPr>
          <w:rFonts w:ascii="Times New Roman;Times;serif" w:hAnsi="Times New Roman;Times;serif"/>
          <w:sz w:val="20"/>
          <w:u w:val="single"/>
        </w:rPr>
        <w:t>Exercise</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Exercise of Warrant</w:t>
      </w:r>
      <w:r>
        <w:rPr>
          <w:rFonts w:ascii="Times New Roman;Times;serif" w:hAnsi="Times New Roman;Times;serif"/>
          <w:sz w:val="20"/>
        </w:rPr>
        <w:t xml:space="preserve">.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e-mail attachment) of the Notice of Exercise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sz w:val="20"/>
          <w:u w:val="single"/>
        </w:rPr>
        <w:t>Notice of Exercise</w:t>
      </w:r>
      <w:r>
        <w:rPr>
          <w:rFonts w:ascii="Times New Roman;Times;serif" w:hAnsi="Times New Roman;Times;serif"/>
          <w:sz w:val="20"/>
        </w:rPr>
        <w:t>”). 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sz w:val="20"/>
          <w:u w:val="single"/>
        </w:rPr>
        <w:t>Warrant Share Delivery Date</w:t>
      </w:r>
      <w:r>
        <w:rPr>
          <w:rFonts w:ascii="Times New Roman;Times;serif" w:hAnsi="Times New Roman;Times;serif"/>
          <w:sz w:val="20"/>
        </w:rPr>
        <w:t>”),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Exercise Price</w:t>
      </w:r>
      <w:r>
        <w:rPr>
          <w:rFonts w:ascii="Times New Roman;Times;serif" w:hAnsi="Times New Roman;Times;serif"/>
          <w:sz w:val="20"/>
        </w:rPr>
        <w:t>.  The exercise price per share of Common Stock under this Warrant shall be $0.3704, subject to adjustment hereunder (the “</w:t>
      </w:r>
      <w:r>
        <w:rPr>
          <w:rFonts w:ascii="Times New Roman;Times;serif" w:hAnsi="Times New Roman;Times;serif"/>
          <w:sz w:val="20"/>
          <w:u w:val="single"/>
        </w:rPr>
        <w:t>Exercise Price</w:t>
      </w:r>
      <w:r>
        <w:rPr>
          <w:rFonts w:ascii="Times New Roman;Times;serif" w:hAnsi="Times New Roman;Times;serif"/>
          <w:sz w:val="20"/>
        </w:rPr>
        <w:t>”).  In the event this Warrant is exercised for Pre-Funded Warrants, the exercise price per Pre-Funded Warrant under this Warrant shall be $0.3703, which represents the Exercise Price minus the Pre-Funded Warrant Exercise Price, subject to adjustment hereunder.</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Cashless Exercise</w:t>
      </w:r>
      <w:r>
        <w:rPr>
          <w:rFonts w:ascii="Times New Roman;Times;serif" w:hAnsi="Times New Roman;Times;serif"/>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tbl>
      <w:tblPr>
        <w:tblW w:w="10205" w:type="dxa"/>
        <w:jc w:val="left"/>
        <w:tblInd w:w="0" w:type="dxa"/>
        <w:tblLayout w:type="fixed"/>
        <w:tblCellMar>
          <w:top w:w="0" w:type="dxa"/>
          <w:left w:w="0" w:type="dxa"/>
          <w:bottom w:w="0" w:type="dxa"/>
          <w:right w:w="0" w:type="dxa"/>
        </w:tblCellMar>
      </w:tblPr>
      <w:tblGrid>
        <w:gridCol w:w="23"/>
        <w:gridCol w:w="225"/>
        <w:gridCol w:w="9957"/>
      </w:tblGrid>
      <w:tr>
        <w:trPr/>
        <w:tc>
          <w:tcPr>
            <w:tcW w:w="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 </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1980" w:right="0" w:hanging="0"/>
        <w:jc w:val="both"/>
        <w:rPr>
          <w:rFonts w:ascii="Times New Roman;Times;serif" w:hAnsi="Times New Roman;Times;serif"/>
          <w:sz w:val="20"/>
        </w:rPr>
      </w:pPr>
      <w:r>
        <w:rPr>
          <w:rFonts w:ascii="Times New Roman;Times;serif" w:hAnsi="Times New Roman;Times;serif"/>
          <w:sz w:val="20"/>
        </w:rPr>
        <w:t>VWAP on the date of the applicable Notice of Exercise if the date of such Notice of Exercise is a Trading Day and such Notice of Exercise is both executed and delivered pursuant to Section 2(a) hereof after the close of “regular trading hours” on such Trading Day;</w:t>
      </w:r>
    </w:p>
    <w:tbl>
      <w:tblPr>
        <w:tblW w:w="5493" w:type="dxa"/>
        <w:jc w:val="left"/>
        <w:tblInd w:w="0" w:type="dxa"/>
        <w:tblLayout w:type="fixed"/>
        <w:tblCellMar>
          <w:top w:w="0" w:type="dxa"/>
          <w:left w:w="0" w:type="dxa"/>
          <w:bottom w:w="0" w:type="dxa"/>
          <w:right w:w="0" w:type="dxa"/>
        </w:tblCellMar>
      </w:tblPr>
      <w:tblGrid>
        <w:gridCol w:w="23"/>
        <w:gridCol w:w="320"/>
        <w:gridCol w:w="51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 xml:space="preserve">(B) </w:t>
            </w:r>
          </w:p>
        </w:tc>
        <w:tc>
          <w:tcPr>
            <w:tcW w:w="515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 the Exercise Price of this Warrant, as adjusted hereunder; and </w:t>
            </w:r>
          </w:p>
        </w:tc>
      </w:tr>
    </w:tbl>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(X) </w:t>
            </w:r>
          </w:p>
        </w:tc>
        <w:tc>
          <w:tcPr>
            <w:tcW w:w="99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Mechanics of Exercise</w:t>
      </w:r>
      <w:r>
        <w:rPr>
          <w:rFonts w:ascii="Times New Roman;Times;serif" w:hAnsi="Times New Roman;Times;serif"/>
          <w:sz w:val="20"/>
        </w:rPr>
        <w:t xml:space="preserve">. </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sz w:val="20"/>
          <w:u w:val="single"/>
        </w:rPr>
        <w:t>DTC</w:t>
      </w:r>
      <w:r>
        <w:rPr>
          <w:rFonts w:ascii="Times New Roman;Times;serif" w:hAnsi="Times New Roman;Times;serif"/>
          <w:sz w:val="20"/>
        </w:rPr>
        <w:t>”)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sz w:val="20"/>
          <w:u w:val="single"/>
        </w:rPr>
        <w:t>Warrant Share Delivery Date</w:t>
      </w:r>
      <w:r>
        <w:rPr>
          <w:rFonts w:ascii="Times New Roman;Times;serif" w:hAnsi="Times New Roman;Times;serif"/>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Delivery of Pre-Funded Warrants Upon Exercise</w:t>
      </w:r>
      <w:r>
        <w:rPr>
          <w:rFonts w:ascii="Times New Roman;Times;serif" w:hAnsi="Times New Roman;Times;serif"/>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sz w:val="20"/>
          <w:u w:val="single"/>
        </w:rPr>
        <w:t>Pre-Funded Warrant Delivery Date</w:t>
      </w:r>
      <w:r>
        <w:rPr>
          <w:rFonts w:ascii="Times New Roman;Times;serif" w:hAnsi="Times New Roman;Times;serif"/>
          <w:sz w:val="20"/>
        </w:rPr>
        <w:t>”).</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v. </w:t>
      </w:r>
      <w:r>
        <w:rPr>
          <w:rFonts w:ascii="Times New Roman;Times;serif" w:hAnsi="Times New Roman;Times;serif"/>
          <w:sz w:val="20"/>
          <w:u w:val="single"/>
        </w:rPr>
        <w:t>Compensation for Buy-In on Failure to Timely Deliver Warrant Shares Upon Exercise</w:t>
      </w:r>
      <w:r>
        <w:rPr>
          <w:rFonts w:ascii="Times New Roman;Times;serif" w:hAnsi="Times New Roman;Times;serif"/>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z w:val="20"/>
          <w:u w:val="single"/>
        </w:rPr>
        <w:t>Buy-In</w:t>
      </w:r>
      <w:r>
        <w:rPr>
          <w:rFonts w:ascii="Times New Roman;Times;serif" w:hAnsi="Times New Roman;Times;serif"/>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vi. </w:t>
      </w:r>
      <w:r>
        <w:rPr>
          <w:rFonts w:ascii="Times New Roman;Times;serif" w:hAnsi="Times New Roman;Times;serif"/>
          <w:sz w:val="20"/>
          <w:u w:val="single"/>
        </w:rPr>
        <w:t>No Fractional Shares or Scrip</w:t>
      </w:r>
      <w:r>
        <w:rPr>
          <w:rFonts w:ascii="Times New Roman;Times;serif" w:hAnsi="Times New Roman;Times;serif"/>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vii. </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sz w:val="20"/>
          <w:u w:val="single"/>
        </w:rPr>
        <w:t>Exhibit B</w:t>
      </w:r>
      <w:r>
        <w:rPr>
          <w:rFonts w:ascii="Times New Roman;Times;serif" w:hAnsi="Times New Roman;Times;serif"/>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before="0" w:after="240"/>
        <w:ind w:left="2180" w:right="0" w:firstLine="720"/>
        <w:jc w:val="both"/>
        <w:rPr>
          <w:rFonts w:ascii="Times New Roman;Times;serif" w:hAnsi="Times New Roman;Times;serif"/>
          <w:sz w:val="20"/>
        </w:rPr>
      </w:pPr>
      <w:r>
        <w:rPr>
          <w:rFonts w:ascii="Times New Roman;Times;serif" w:hAnsi="Times New Roman;Times;serif"/>
          <w:sz w:val="20"/>
        </w:rPr>
        <w:t>viii. </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Holder’s Exercise Limitations</w:t>
      </w:r>
      <w:r>
        <w:rPr>
          <w:rFonts w:ascii="Times New Roman;Times;serif" w:hAnsi="Times New Roman;Times;serif"/>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sz w:val="20"/>
          <w:u w:val="single"/>
        </w:rPr>
        <w:t>Attribution Parties</w:t>
      </w:r>
      <w:r>
        <w:rPr>
          <w:rFonts w:ascii="Times New Roman;Times;serif" w:hAnsi="Times New Roman;Times;serif"/>
          <w:sz w:val="20"/>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w:t>
      </w:r>
      <w:r>
        <w:rPr>
          <w:rFonts w:ascii="Times New Roman;Times;serif" w:hAnsi="Times New Roman;Times;serif"/>
          <w:sz w:val="20"/>
          <w:u w:val="single"/>
        </w:rPr>
        <w:t>Beneficial Ownership Limitation</w:t>
      </w:r>
      <w:r>
        <w:rPr>
          <w:rFonts w:ascii="Times New Roman;Times;serif" w:hAnsi="Times New Roman;Times;serif"/>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sz w:val="15"/>
        </w:rPr>
        <w:t>st</w:t>
      </w:r>
      <w:r>
        <w:rPr>
          <w:rFonts w:ascii="Times New Roman;Times;serif" w:hAnsi="Times New Roman;Times;serif"/>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3. </w:t>
      </w:r>
      <w:r>
        <w:rPr>
          <w:rFonts w:ascii="Times New Roman;Times;serif" w:hAnsi="Times New Roman;Times;serif"/>
          <w:sz w:val="20"/>
          <w:u w:val="single"/>
        </w:rPr>
        <w:t>Certain Adjustments</w:t>
      </w:r>
      <w:r>
        <w:rPr>
          <w:rFonts w:ascii="Times New Roman;Times;serif" w:hAnsi="Times New Roman;Times;serif"/>
          <w:sz w:val="20"/>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Stock Dividends and Splits</w:t>
      </w:r>
      <w:r>
        <w:rPr>
          <w:rFonts w:ascii="Times New Roman;Times;serif" w:hAnsi="Times New Roman;Times;serif"/>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Subsequent Rights Offerings</w:t>
      </w:r>
      <w:r>
        <w:rPr>
          <w:rFonts w:ascii="Times New Roman;Times;serif" w:hAnsi="Times New Roman;Times;serif"/>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z w:val="20"/>
          <w:u w:val="single"/>
        </w:rPr>
        <w:t>Purchase Rights</w:t>
      </w:r>
      <w:r>
        <w:rPr>
          <w:rFonts w:ascii="Times New Roman;Times;serif" w:hAnsi="Times New Roman;Times;serif"/>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 </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iii. </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iv. </w:t>
      </w:r>
      <w:r>
        <w:rPr>
          <w:rFonts w:ascii="Times New Roman;Times;serif" w:hAnsi="Times New Roman;Times;serif"/>
          <w:sz w:val="20"/>
          <w:u w:val="single"/>
        </w:rPr>
        <w:t>Fundamental Transaction</w:t>
      </w:r>
      <w:r>
        <w:rPr>
          <w:rFonts w:ascii="Times New Roman;Times;serif" w:hAnsi="Times New Roman;Times;serif"/>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sz w:val="20"/>
          <w:u w:val="single"/>
        </w:rPr>
        <w:t>Fundamental Transaction</w:t>
      </w:r>
      <w:r>
        <w:rPr>
          <w:rFonts w:ascii="Times New Roman;Times;serif" w:hAnsi="Times New Roman;Times;serif"/>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z w:val="20"/>
          <w:u w:val="single"/>
        </w:rPr>
        <w:t>Alternate Consideration</w:t>
      </w:r>
      <w:r>
        <w:rPr>
          <w:rFonts w:ascii="Times New Roman;Times;serif" w:hAnsi="Times New Roman;Times;serif"/>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both"/>
        <w:rPr>
          <w:rFonts w:ascii="Times New Roman;Times;serif" w:hAnsi="Times New Roman;Times;serif"/>
          <w:sz w:val="20"/>
        </w:rPr>
      </w:pPr>
      <w:r>
        <w:rPr>
          <w:rFonts w:ascii="Times New Roman;Times;serif" w:hAnsi="Times New Roman;Times;serif"/>
          <w:sz w:val="20"/>
        </w:rPr>
        <w:t>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sz w:val="20"/>
          <w:u w:val="single"/>
        </w:rPr>
        <w:t>Black Scholes Value</w:t>
      </w:r>
      <w:r>
        <w:rPr>
          <w:rFonts w:ascii="Times New Roman;Times;serif" w:hAnsi="Times New Roman;Times;serif"/>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sz w:val="20"/>
          <w:u w:val="single"/>
        </w:rPr>
        <w:t>Successor Entity</w:t>
      </w:r>
      <w:r>
        <w:rPr>
          <w:rFonts w:ascii="Times New Roman;Times;serif" w:hAnsi="Times New Roman;Times;serif"/>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Notice to Holder</w:t>
      </w:r>
      <w:r>
        <w:rPr>
          <w:rFonts w:ascii="Times New Roman;Times;serif" w:hAnsi="Times New Roman;Times;serif"/>
          <w:sz w:val="20"/>
        </w:rPr>
        <w:t>.  </w:t>
      </w:r>
    </w:p>
    <w:p>
      <w:pPr>
        <w:pStyle w:val="TextBody"/>
        <w:bidi w:val="0"/>
        <w:spacing w:before="0" w:after="0"/>
        <w:ind w:left="216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Adjustment to Exercise Price</w:t>
      </w:r>
      <w:r>
        <w:rPr>
          <w:rFonts w:ascii="Times New Roman;Times;serif" w:hAnsi="Times New Roman;Times;serif"/>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  </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0"/>
        </w:rPr>
        <w:t>ii. </w:t>
      </w:r>
      <w:r>
        <w:rPr>
          <w:rFonts w:ascii="Times New Roman;Times;serif" w:hAnsi="Times New Roman;Times;serif"/>
          <w:sz w:val="20"/>
          <w:u w:val="single"/>
        </w:rPr>
        <w:t>Notice to Allow Exercise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sz w:val="20"/>
          <w:u w:val="single"/>
        </w:rPr>
        <w:t>provided</w:t>
      </w:r>
      <w:r>
        <w:rPr>
          <w:rFonts w:ascii="Times New Roman;Times;serif" w:hAnsi="Times New Roman;Times;serif"/>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74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Certain Events</w:t>
      </w:r>
      <w:r>
        <w:rPr>
          <w:rFonts w:ascii="Times New Roman;Times;serif" w:hAnsi="Times New Roman;Times;serif"/>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4. </w:t>
      </w:r>
      <w:r>
        <w:rPr>
          <w:rFonts w:ascii="Times New Roman;Times;serif" w:hAnsi="Times New Roman;Times;serif"/>
          <w:sz w:val="20"/>
          <w:u w:val="single"/>
        </w:rPr>
        <w:t>Transfer of Warrant</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Transferability</w:t>
      </w:r>
      <w:r>
        <w:rPr>
          <w:rFonts w:ascii="Times New Roman;Times;serif" w:hAnsi="Times New Roman;Times;serif"/>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New Warrants.</w:t>
      </w:r>
      <w:r>
        <w:rPr>
          <w:rFonts w:ascii="Times New Roman;Times;serif" w:hAnsi="Times New Roman;Times;serif"/>
          <w:sz w:val="20"/>
        </w:rPr>
        <w:t xml:space="preserve"> 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Warrant Register</w:t>
      </w:r>
      <w:r>
        <w:rPr>
          <w:rFonts w:ascii="Times New Roman;Times;serif" w:hAnsi="Times New Roman;Times;serif"/>
          <w:sz w:val="20"/>
        </w:rPr>
        <w:t>. The Warrant Agent shall register this Warrant, upon records to be maintained by the Warrant Agent for that purpose (the “</w:t>
      </w:r>
      <w:r>
        <w:rPr>
          <w:rFonts w:ascii="Times New Roman;Times;serif" w:hAnsi="Times New Roman;Times;serif"/>
          <w:sz w:val="20"/>
          <w:u w:val="single"/>
        </w:rPr>
        <w:t>Warrant Register</w:t>
      </w:r>
      <w:r>
        <w:rPr>
          <w:rFonts w:ascii="Times New Roman;Times;serif" w:hAnsi="Times New Roman;Times;serif"/>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Representation by the Holder</w:t>
      </w:r>
      <w:r>
        <w:rPr>
          <w:rFonts w:ascii="Times New Roman;Times;serif" w:hAnsi="Times New Roman;Times;serif"/>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5. </w:t>
      </w:r>
      <w:r>
        <w:rPr>
          <w:rFonts w:ascii="Times New Roman;Times;serif" w:hAnsi="Times New Roman;Times;serif"/>
          <w:sz w:val="20"/>
          <w:u w:val="single"/>
        </w:rPr>
        <w:t>Miscellaneous</w:t>
      </w:r>
      <w:r>
        <w:rPr>
          <w:rFonts w:ascii="Times New Roman;Times;serif" w:hAnsi="Times New Roman;Times;serif"/>
          <w:sz w:val="20"/>
        </w:rPr>
        <w:t>.</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sz w:val="20"/>
          <w:u w:val="single"/>
        </w:rPr>
        <w:t>No Rights as Stockholder Until Exercise</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b) </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c) </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d) </w:t>
      </w:r>
      <w:r>
        <w:rPr>
          <w:rFonts w:ascii="Times New Roman;Times;serif" w:hAnsi="Times New Roman;Times;serif"/>
          <w:sz w:val="20"/>
          <w:u w:val="single"/>
        </w:rPr>
        <w:t>Authorized Shares</w:t>
      </w:r>
      <w:r>
        <w:rPr>
          <w:rFonts w:ascii="Times New Roman;Times;serif" w:hAnsi="Times New Roman;Times;serif"/>
          <w:sz w:val="20"/>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e) </w:t>
      </w:r>
      <w:r>
        <w:rPr>
          <w:rFonts w:ascii="Times New Roman;Times;serif" w:hAnsi="Times New Roman;Times;serif"/>
          <w:sz w:val="20"/>
          <w:u w:val="single"/>
        </w:rPr>
        <w:t>Governing Law</w:t>
      </w:r>
      <w:r>
        <w:rPr>
          <w:rFonts w:ascii="Times New Roman;Times;serif" w:hAnsi="Times New Roman;Times;serif"/>
          <w:sz w:val="20"/>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f) </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g) </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h) </w:t>
      </w:r>
      <w:r>
        <w:rPr>
          <w:rFonts w:ascii="Times New Roman;Times;serif" w:hAnsi="Times New Roman;Times;serif"/>
          <w:sz w:val="20"/>
          <w:u w:val="single"/>
        </w:rPr>
        <w:t>Notices</w:t>
      </w:r>
      <w:r>
        <w:rPr>
          <w:rFonts w:ascii="Times New Roman;Times;serif" w:hAnsi="Times New Roman;Times;serif"/>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John Bencich , e-mail address: [***], or such other e-mail address or address as the Company may specify for such purposes by notice to the Holders; and addressed to the Warrant Agent, at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Henry Farrell, email address: hfarrell@continentalstock.com or such other e-mail address or address as the Warrant Agent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i) </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ind w:left="720" w:right="0" w:firstLine="720"/>
        <w:jc w:val="both"/>
        <w:rPr>
          <w:rFonts w:ascii="Times New Roman;Times;serif" w:hAnsi="Times New Roman;Times;serif"/>
          <w:sz w:val="20"/>
        </w:rPr>
      </w:pPr>
      <w:r>
        <w:rPr>
          <w:rFonts w:ascii="Times New Roman;Times;serif" w:hAnsi="Times New Roman;Times;serif"/>
          <w:sz w:val="20"/>
        </w:rPr>
        <w:t>j) </w:t>
      </w:r>
      <w:r>
        <w:rPr>
          <w:rFonts w:ascii="Times New Roman;Times;serif" w:hAnsi="Times New Roman;Times;serif"/>
          <w:sz w:val="20"/>
          <w:u w:val="single"/>
        </w:rPr>
        <w:t>Remedies</w:t>
      </w:r>
      <w:r>
        <w:rPr>
          <w:rFonts w:ascii="Times New Roman;Times;serif" w:hAnsi="Times New Roman;Times;serif"/>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k) </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l) </w:t>
      </w:r>
      <w:r>
        <w:rPr>
          <w:rFonts w:ascii="Times New Roman;Times;serif" w:hAnsi="Times New Roman;Times;serif"/>
          <w:sz w:val="20"/>
          <w:u w:val="single"/>
        </w:rPr>
        <w:t>Amendment</w:t>
      </w:r>
      <w:r>
        <w:rPr>
          <w:rFonts w:ascii="Times New Roman;Times;serif" w:hAnsi="Times New Roman;Times;serif"/>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before="0" w:after="0"/>
        <w:ind w:left="720" w:right="0" w:firstLine="720"/>
        <w:jc w:val="both"/>
        <w:rPr>
          <w:rFonts w:ascii="Times New Roman;Times;serif" w:hAnsi="Times New Roman;Times;serif"/>
          <w:sz w:val="20"/>
        </w:rPr>
      </w:pPr>
      <w:r>
        <w:rPr>
          <w:rFonts w:ascii="Times New Roman;Times;serif" w:hAnsi="Times New Roman;Times;serif"/>
          <w:sz w:val="20"/>
        </w:rPr>
        <w:t>m) </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n) </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spacing w:before="0" w:after="240"/>
        <w:ind w:left="727" w:right="0" w:firstLine="720"/>
        <w:jc w:val="both"/>
        <w:rPr>
          <w:rFonts w:ascii="Times New Roman;Times;serif" w:hAnsi="Times New Roman;Times;serif"/>
          <w:sz w:val="20"/>
        </w:rPr>
      </w:pPr>
      <w:r>
        <w:rPr>
          <w:rFonts w:ascii="Times New Roman;Times;serif" w:hAnsi="Times New Roman;Times;serif"/>
          <w:sz w:val="20"/>
        </w:rPr>
        <w:t>o) </w:t>
      </w:r>
      <w:r>
        <w:rPr>
          <w:rFonts w:ascii="Times New Roman;Times;serif" w:hAnsi="Times New Roman;Times;serif"/>
          <w:sz w:val="20"/>
          <w:u w:val="single"/>
        </w:rPr>
        <w:t>Warrant Agency Agreement</w:t>
      </w:r>
      <w:r>
        <w:rPr>
          <w:rFonts w:ascii="Times New Roman;Times;serif" w:hAnsi="Times New Roman;Times;serif"/>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pBdr/>
        <w:bidi w:val="0"/>
        <w:spacing w:before="0" w:after="0"/>
        <w:ind w:left="0" w:right="0" w:hanging="0"/>
        <w:jc w:val="center"/>
        <w:rPr/>
      </w:pPr>
      <w:r>
        <w:rPr/>
        <w:t> </w:t>
      </w:r>
    </w:p>
    <w:p>
      <w:pPr>
        <w:pStyle w:val="TextBody"/>
        <w:pBdr/>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pBdr/>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center"/>
        <w:rPr/>
      </w:pPr>
      <w:r>
        <w:rPr/>
        <w:t>​</w:t>
      </w:r>
    </w:p>
    <w:p>
      <w:pPr>
        <w:pStyle w:val="TextBody"/>
        <w:pBdr/>
        <w:bidi w:val="0"/>
        <w:spacing w:before="0" w:after="0"/>
        <w:ind w:left="0" w:right="0" w:hanging="0"/>
        <w:jc w:val="left"/>
        <w:rPr/>
      </w:pPr>
      <w:r>
        <w:rPr/>
        <w:t> </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p>
      <w:pPr>
        <w:pStyle w:val="TextBody"/>
        <w:pBdr/>
        <w:bidi w:val="0"/>
        <w:spacing w:before="0" w:after="0"/>
        <w:ind w:left="0" w:right="0" w:hanging="0"/>
        <w:jc w:val="both"/>
        <w:rPr/>
      </w:pPr>
      <w:r>
        <w:rPr/>
        <w:t>​</w:t>
      </w:r>
    </w:p>
    <w:tbl>
      <w:tblPr>
        <w:tblW w:w="3721" w:type="dxa"/>
        <w:jc w:val="left"/>
        <w:tblInd w:w="0" w:type="dxa"/>
        <w:tblLayout w:type="fixed"/>
        <w:tblCellMar>
          <w:top w:w="0" w:type="dxa"/>
          <w:left w:w="0" w:type="dxa"/>
          <w:bottom w:w="0" w:type="dxa"/>
          <w:right w:w="0" w:type="dxa"/>
        </w:tblCellMar>
      </w:tblPr>
      <w:tblGrid>
        <w:gridCol w:w="3721"/>
      </w:tblGrid>
      <w:tr>
        <w:trPr/>
        <w:tc>
          <w:tcPr>
            <w:tcW w:w="3721" w:type="dxa"/>
            <w:tcBorders/>
            <w:vAlign w:val="center"/>
          </w:tcPr>
          <w:p>
            <w:pPr>
              <w:pStyle w:val="TableContents"/>
              <w:pBdr/>
              <w:bidi w:val="0"/>
              <w:spacing w:before="0" w:after="0"/>
              <w:ind w:left="5040" w:right="0" w:hanging="0"/>
              <w:jc w:val="left"/>
              <w:rPr>
                <w:rFonts w:ascii="Times New Roman;Times;serif" w:hAnsi="Times New Roman;Times;serif"/>
                <w:b/>
                <w:caps/>
                <w:sz w:val="20"/>
              </w:rPr>
            </w:pPr>
            <w:r>
              <w:rPr>
                <w:rFonts w:ascii="Times New Roman;Times;serif" w:hAnsi="Times New Roman;Times;serif"/>
                <w:b/>
                <w:caps/>
                <w:sz w:val="20"/>
              </w:rPr>
              <w:t>AEON Biopharma, INC.</w:t>
            </w:r>
          </w:p>
          <w:p>
            <w:pPr>
              <w:pStyle w:val="TableContents"/>
              <w:pBdr/>
              <w:bidi w:val="0"/>
              <w:spacing w:before="0" w:after="0"/>
              <w:ind w:left="5040" w:right="0" w:hanging="0"/>
              <w:jc w:val="left"/>
              <w:rPr/>
            </w:pPr>
            <w:r>
              <w:rPr/>
              <w:t> </w:t>
            </w:r>
          </w:p>
          <w:p>
            <w:pPr>
              <w:pStyle w:val="TableContents"/>
              <w:pBdr/>
              <w:bidi w:val="0"/>
              <w:spacing w:before="0" w:after="0"/>
              <w:ind w:left="0" w:right="0" w:hanging="0"/>
              <w:jc w:val="left"/>
              <w:rPr/>
            </w:pPr>
            <w:r>
              <w:rPr/>
              <w:t> </w:t>
            </w:r>
          </w:p>
        </w:tc>
      </w:tr>
      <w:tr>
        <w:trPr/>
        <w:tc>
          <w:tcPr>
            <w:tcW w:w="3721" w:type="dxa"/>
            <w:tcBorders/>
            <w:vAlign w:val="center"/>
          </w:tcPr>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By:_______________________________</w:t>
            </w:r>
          </w:p>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Name:</w:t>
            </w:r>
          </w:p>
          <w:p>
            <w:pPr>
              <w:pStyle w:val="TableContents"/>
              <w:pBdr/>
              <w:bidi w:val="0"/>
              <w:spacing w:before="0" w:after="0"/>
              <w:ind w:left="5040" w:right="0" w:hanging="0"/>
              <w:jc w:val="left"/>
              <w:rPr>
                <w:rFonts w:ascii="Times New Roman;Times;serif" w:hAnsi="Times New Roman;Times;serif"/>
                <w:sz w:val="20"/>
              </w:rPr>
            </w:pPr>
            <w:r>
              <w:rPr>
                <w:rFonts w:ascii="Times New Roman;Times;serif" w:hAnsi="Times New Roman;Times;serif"/>
                <w:sz w:val="20"/>
              </w:rPr>
              <w:t>Title:</w:t>
            </w:r>
          </w:p>
          <w:p>
            <w:pPr>
              <w:pStyle w:val="TableContents"/>
              <w:pBdr/>
              <w:bidi w:val="0"/>
              <w:spacing w:before="0" w:after="0"/>
              <w:ind w:left="5040" w:right="0" w:hanging="0"/>
              <w:jc w:val="left"/>
              <w:rPr/>
            </w:pPr>
            <w:r>
              <w:rPr/>
              <w:t> </w:t>
            </w:r>
          </w:p>
        </w:tc>
      </w:tr>
    </w:tbl>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920" w:right="0" w:hanging="0"/>
        <w:jc w:val="left"/>
        <w:rPr>
          <w:rFonts w:ascii="Times New Roman;Times;serif" w:hAnsi="Times New Roman;Times;serif"/>
          <w:b/>
          <w:sz w:val="20"/>
        </w:rPr>
      </w:pPr>
      <w:r>
        <w:rPr>
          <w:rFonts w:ascii="Times New Roman;Times;serif" w:hAnsi="Times New Roman;Times;serif"/>
          <w:b/>
          <w:sz w:val="20"/>
        </w:rPr>
        <w:t>EXHIBIT A</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NOTICE OF EXERCISE</w:t>
      </w:r>
    </w:p>
    <w:p>
      <w:pPr>
        <w:pStyle w:val="TextBody"/>
        <w:pBdr/>
        <w:bidi w:val="0"/>
        <w:spacing w:before="0" w:after="0"/>
        <w:ind w:left="0" w:right="0" w:hanging="0"/>
        <w:jc w:val="center"/>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sz w:val="20"/>
        </w:rPr>
        <w:t>To:</w:t>
      </w:r>
      <w:r>
        <w:rPr>
          <w:rFonts w:ascii="Times New Roman;Times;serif" w:hAnsi="Times New Roman;Times;serif"/>
          <w:caps/>
          <w:sz w:val="20"/>
        </w:rPr>
        <w:t>AEON BioPharma, inc.</w:t>
      </w:r>
    </w:p>
    <w:p>
      <w:pPr>
        <w:pStyle w:val="TextBody"/>
        <w:pBdr/>
        <w:bidi w:val="0"/>
        <w:spacing w:before="0" w:after="0"/>
        <w:ind w:left="0" w:right="0" w:hanging="0"/>
        <w:jc w:val="both"/>
        <w:rPr/>
      </w:pPr>
      <w:r>
        <w:rPr/>
        <w:t> </w:t>
      </w:r>
    </w:p>
    <w:p>
      <w:pPr>
        <w:pStyle w:val="TextBody"/>
        <w:pBdr/>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(1) The undersigned hereby elects to purchase ________ [Warrant Shares][Pre-Funded Warrants] of the Company pursuant to the terms of the attached Warrant (only if exercised in full), and tenders herewith payment of the exercise price in full, together with all applicable transfer taxes, if any.</w:t>
      </w:r>
    </w:p>
    <w:p>
      <w:pPr>
        <w:pStyle w:val="TextBody"/>
        <w:pBdr/>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(2) Payment shall take the form of (check applicable box):</w:t>
      </w:r>
    </w:p>
    <w:p>
      <w:pPr>
        <w:pStyle w:val="TextBody"/>
        <w:pBdr/>
        <w:bidi w:val="0"/>
        <w:spacing w:before="0" w:after="0"/>
        <w:ind w:left="2160" w:right="0" w:hanging="0"/>
        <w:jc w:val="both"/>
        <w:rPr/>
      </w:pPr>
      <w:r>
        <w:rPr/>
        <w:t xml:space="preserve">☐ </w:t>
      </w:r>
      <w:r>
        <w:rPr>
          <w:rFonts w:ascii="Times New Roman;Times;serif" w:hAnsi="Times New Roman;Times;serif"/>
          <w:sz w:val="20"/>
        </w:rPr>
        <w:t>in lawful money of the United States; or </w:t>
      </w:r>
    </w:p>
    <w:p>
      <w:pPr>
        <w:pStyle w:val="TextBody"/>
        <w:pBdr/>
        <w:bidi w:val="0"/>
        <w:spacing w:before="0" w:after="0"/>
        <w:ind w:left="2160" w:right="0" w:hanging="0"/>
        <w:jc w:val="both"/>
        <w:rPr/>
      </w:pPr>
      <w:r>
        <w:rPr/>
        <w:t xml:space="preserve">☐ </w:t>
      </w:r>
      <w:r>
        <w:rPr>
          <w:rFonts w:ascii="Times New Roman;Times;serif" w:hAnsi="Times New Roman;Times;serif"/>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(3) Please issue said [Warrant Shares][Pre-Funded Warrants] in the name of the undersigned or in such other name as is specified below:</w:t>
      </w:r>
    </w:p>
    <w:p>
      <w:pPr>
        <w:pStyle w:val="TextBody"/>
        <w:pBdr/>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permitted by the terms of the Warrant, the Warrant Shares shall be delivered to the following DWAC Account Number:</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0"/>
        <w:jc w:val="both"/>
        <w:rPr/>
      </w:pPr>
      <w:r>
        <w:rPr/>
        <w:t> </w:t>
      </w:r>
    </w:p>
    <w:p>
      <w:pPr>
        <w:pStyle w:val="TextBody"/>
        <w:bidi w:val="0"/>
        <w:spacing w:before="0" w:after="0"/>
        <w:ind w:left="0" w:right="0" w:firstLine="1632"/>
        <w:jc w:val="both"/>
        <w:rPr>
          <w:rFonts w:ascii="Times New Roman;Times;serif" w:hAnsi="Times New Roman;Times;serif"/>
          <w:sz w:val="20"/>
        </w:rPr>
      </w:pPr>
      <w:r>
        <w:rPr>
          <w:rFonts w:ascii="Times New Roman;Times;serif" w:hAnsi="Times New Roman;Times;serif"/>
          <w:sz w:val="20"/>
        </w:rPr>
        <w:t>(4) The undersigned is an “accredited investor” as defined in Regulation D promulgated under the Securities Act of 1933, as amended.</w:t>
      </w:r>
    </w:p>
    <w:p>
      <w:pPr>
        <w:pStyle w:val="TextBody"/>
        <w:pBdr/>
        <w:bidi w:val="0"/>
        <w:spacing w:before="0" w:after="0"/>
        <w:ind w:left="0" w:right="0" w:hanging="0"/>
        <w:jc w:val="both"/>
        <w:rPr/>
      </w:pPr>
      <w:r>
        <w:rPr/>
        <w:t> </w:t>
      </w:r>
    </w:p>
    <w:p>
      <w:pPr>
        <w:pStyle w:val="TextBody"/>
        <w:pBdr/>
        <w:bidi w:val="0"/>
        <w:spacing w:before="0" w:after="0"/>
        <w:ind w:left="0" w:right="0" w:hanging="0"/>
        <w:jc w:val="both"/>
        <w:rPr>
          <w:rFonts w:ascii="Times New Roman;Times;serif" w:hAnsi="Times New Roman;Times;serif"/>
          <w:caps/>
          <w:sz w:val="20"/>
        </w:rPr>
      </w:pPr>
      <w:r>
        <w:rPr>
          <w:rFonts w:ascii="Times New Roman;Times;serif" w:hAnsi="Times New Roman;Times;serif"/>
          <w:caps/>
          <w:sz w:val="20"/>
        </w:rPr>
        <w:t>[SIGNATURE OF HOLDER]</w:t>
      </w:r>
    </w:p>
    <w:p>
      <w:pPr>
        <w:pStyle w:val="TextBody"/>
        <w:pBdr/>
        <w:bidi w:val="0"/>
        <w:spacing w:before="0" w:after="0"/>
        <w:ind w:left="0" w:right="0" w:hanging="0"/>
        <w:jc w:val="both"/>
        <w:rPr/>
      </w:pPr>
      <w:r>
        <w:rPr/>
        <w:t>​</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Name of Investing Entity: _______________________________________________________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i/>
          <w:sz w:val="20"/>
        </w:rPr>
        <w:t>Signature of Authorized Signatory of Investing Entity</w:t>
      </w:r>
      <w:r>
        <w:rPr>
          <w:rFonts w:ascii="Times New Roman;Times;serif" w:hAnsi="Times New Roman;Times;serif"/>
          <w:sz w:val="20"/>
        </w:rPr>
        <w:t>: 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Name of Authorized Signatory: 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Title of Authorized Signatory: ____________________________________________________</w:t>
      </w:r>
    </w:p>
    <w:p>
      <w:pPr>
        <w:pStyle w:val="TextBody"/>
        <w:pBdr/>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Date: ________________________________________________________________________</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920" w:right="0" w:hanging="0"/>
        <w:jc w:val="left"/>
        <w:rPr>
          <w:rFonts w:ascii="Times New Roman;Times;serif" w:hAnsi="Times New Roman;Times;serif"/>
          <w:b/>
          <w:sz w:val="20"/>
        </w:rPr>
      </w:pPr>
      <w:r>
        <w:rPr>
          <w:rFonts w:ascii="Times New Roman;Times;serif" w:hAnsi="Times New Roman;Times;serif"/>
          <w:b/>
          <w:sz w:val="20"/>
        </w:rPr>
        <w:t>EXHIBIT B</w:t>
      </w:r>
    </w:p>
    <w:p>
      <w:pPr>
        <w:pStyle w:val="TextBody"/>
        <w:pBdr/>
        <w:bidi w:val="0"/>
        <w:spacing w:lineRule="auto" w:line="429"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ASSIGNMENT FORM</w:t>
      </w:r>
    </w:p>
    <w:p>
      <w:pPr>
        <w:pStyle w:val="TextBody"/>
        <w:pBdr/>
        <w:bidi w:val="0"/>
        <w:spacing w:before="0" w:after="0"/>
        <w:ind w:left="0" w:right="0" w:hanging="0"/>
        <w:jc w:val="both"/>
        <w:rPr/>
      </w:pPr>
      <w:r>
        <w:rPr/>
        <w:t> </w:t>
      </w:r>
    </w:p>
    <w:p>
      <w:pPr>
        <w:pStyle w:val="TextBody"/>
        <w:pBdr/>
        <w:bidi w:val="0"/>
        <w:spacing w:before="0" w:after="0"/>
        <w:ind w:left="0" w:right="0" w:firstLine="210"/>
        <w:jc w:val="both"/>
        <w:rPr>
          <w:rFonts w:ascii="Times New Roman;Times;serif" w:hAnsi="Times New Roman;Times;serif"/>
          <w:i/>
          <w:sz w:val="20"/>
        </w:rPr>
      </w:pPr>
      <w:r>
        <w:rPr>
          <w:rFonts w:ascii="Times New Roman;Times;serif" w:hAnsi="Times New Roman;Times;serif"/>
          <w:i/>
          <w:sz w:val="20"/>
        </w:rPr>
        <w:t>(To assign the foregoing Warrant, execute this form and supply required information.  Do not use this form to purchase shares.)</w:t>
      </w:r>
    </w:p>
    <w:p>
      <w:pPr>
        <w:pStyle w:val="TextBody"/>
        <w:pBdr/>
        <w:bidi w:val="0"/>
        <w:spacing w:before="0" w:after="0"/>
        <w:ind w:left="0" w:right="0" w:firstLine="210"/>
        <w:jc w:val="both"/>
        <w:rPr>
          <w:rFonts w:ascii="Times New Roman;Times;serif" w:hAnsi="Times New Roman;Times;serif"/>
          <w:sz w:val="20"/>
        </w:rPr>
      </w:pPr>
      <w:bookmarkStart w:id="119" w:name="_DV_M1633"/>
      <w:bookmarkEnd w:id="119"/>
      <w:r>
        <w:rPr>
          <w:rFonts w:ascii="Times New Roman;Times;serif" w:hAnsi="Times New Roman;Times;serif"/>
          <w:sz w:val="20"/>
        </w:rPr>
        <w:t>FOR VALUE RECEIVED, the foregoing Warrant and all rights evidenced thereby are hereby assigned to</w:t>
      </w:r>
    </w:p>
    <w:p>
      <w:pPr>
        <w:pStyle w:val="TextBody"/>
        <w:bidi w:val="0"/>
        <w:spacing w:before="0" w:after="120"/>
        <w:ind w:left="0" w:right="0" w:firstLine="210"/>
        <w:jc w:val="both"/>
        <w:rPr/>
      </w:pPr>
      <w:r>
        <w:rPr/>
        <w:t>​</w:t>
      </w:r>
    </w:p>
    <w:tbl>
      <w:tblPr>
        <w:tblW w:w="7397" w:type="dxa"/>
        <w:jc w:val="left"/>
        <w:tblInd w:w="0" w:type="dxa"/>
        <w:tblLayout w:type="fixed"/>
        <w:tblCellMar>
          <w:top w:w="0" w:type="dxa"/>
          <w:left w:w="0" w:type="dxa"/>
          <w:bottom w:w="0" w:type="dxa"/>
          <w:right w:w="0" w:type="dxa"/>
        </w:tblCellMar>
      </w:tblPr>
      <w:tblGrid>
        <w:gridCol w:w="3256"/>
        <w:gridCol w:w="4141"/>
      </w:tblGrid>
      <w:tr>
        <w:trPr/>
        <w:tc>
          <w:tcPr>
            <w:tcW w:w="325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lineRule="auto" w:line="328" w:before="0" w:after="240"/>
              <w:ind w:left="0" w:right="0" w:hanging="0"/>
              <w:jc w:val="left"/>
              <w:rPr/>
            </w:pPr>
            <w:r>
              <w:rPr/>
              <w:t>​</w:t>
            </w:r>
          </w:p>
        </w:tc>
        <w:tc>
          <w:tcPr>
            <w:tcW w:w="4141" w:type="dxa"/>
            <w:tcBorders/>
            <w:vAlign w:val="center"/>
          </w:tcPr>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(Please Print)</w:t>
            </w:r>
          </w:p>
        </w:tc>
      </w:tr>
      <w:tr>
        <w:trPr/>
        <w:tc>
          <w:tcPr>
            <w:tcW w:w="325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pBdr/>
              <w:bidi w:val="0"/>
              <w:spacing w:lineRule="auto" w:line="328" w:before="0" w:after="0"/>
              <w:ind w:left="0" w:right="0" w:hanging="0"/>
              <w:jc w:val="left"/>
              <w:rPr/>
            </w:pPr>
            <w:r>
              <w:rPr/>
              <w:t>​</w:t>
            </w:r>
          </w:p>
          <w:p>
            <w:pPr>
              <w:pStyle w:val="TableContents"/>
              <w:pBdr/>
              <w:bidi w:val="0"/>
              <w:spacing w:lineRule="auto" w:line="328" w:before="0" w:after="0"/>
              <w:ind w:left="0" w:right="0" w:hanging="0"/>
              <w:jc w:val="left"/>
              <w:rPr>
                <w:rFonts w:ascii="Times New Roman;Times;serif" w:hAnsi="Times New Roman;Times;serif"/>
                <w:sz w:val="20"/>
              </w:rPr>
            </w:pPr>
            <w:bookmarkStart w:id="120" w:name="_DV_C1283"/>
            <w:bookmarkEnd w:id="120"/>
            <w:r>
              <w:rPr>
                <w:rFonts w:ascii="Times New Roman;Times;serif" w:hAnsi="Times New Roman;Times;serif"/>
                <w:sz w:val="20"/>
              </w:rPr>
              <w:t>Phone Number:</w:t>
            </w:r>
          </w:p>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 xml:space="preserve">Email Address: </w:t>
            </w:r>
          </w:p>
        </w:tc>
        <w:tc>
          <w:tcPr>
            <w:tcW w:w="4141"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(Please Print)</w:t>
            </w:r>
          </w:p>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w:t>
            </w:r>
          </w:p>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______________________________________</w:t>
            </w:r>
          </w:p>
        </w:tc>
      </w:tr>
      <w:tr>
        <w:trPr/>
        <w:tc>
          <w:tcPr>
            <w:tcW w:w="3256" w:type="dxa"/>
            <w:tcBorders/>
            <w:vAlign w:val="center"/>
          </w:tcPr>
          <w:p>
            <w:pPr>
              <w:pStyle w:val="TableContents"/>
              <w:bidi w:val="0"/>
              <w:spacing w:lineRule="auto" w:line="328" w:before="0" w:after="240"/>
              <w:ind w:left="0" w:right="0" w:hanging="0"/>
              <w:jc w:val="left"/>
              <w:rPr>
                <w:rFonts w:ascii="Times New Roman;Times;serif" w:hAnsi="Times New Roman;Times;serif"/>
                <w:sz w:val="20"/>
              </w:rPr>
            </w:pPr>
            <w:r>
              <w:rPr>
                <w:rFonts w:ascii="Times New Roman;Times;serif" w:hAnsi="Times New Roman;Times;serif"/>
                <w:sz w:val="20"/>
              </w:rPr>
              <w:t>Dated: _______________ __, ______</w:t>
            </w:r>
          </w:p>
        </w:tc>
        <w:tc>
          <w:tcPr>
            <w:tcW w:w="4141" w:type="dxa"/>
            <w:tcBorders/>
            <w:vAlign w:val="center"/>
          </w:tcPr>
          <w:p>
            <w:pPr>
              <w:pStyle w:val="TableContents"/>
              <w:bidi w:val="0"/>
              <w:spacing w:lineRule="auto" w:line="328" w:before="0" w:after="240"/>
              <w:ind w:left="0" w:right="0" w:hanging="0"/>
              <w:jc w:val="left"/>
              <w:rPr/>
            </w:pPr>
            <w:r>
              <w:rPr/>
              <w:t>​</w:t>
            </w:r>
          </w:p>
        </w:tc>
      </w:tr>
      <w:tr>
        <w:trPr/>
        <w:tc>
          <w:tcPr>
            <w:tcW w:w="3256" w:type="dxa"/>
            <w:tcBorders/>
            <w:vAlign w:val="center"/>
          </w:tcPr>
          <w:p>
            <w:pPr>
              <w:pStyle w:val="TableContents"/>
              <w:bidi w:val="0"/>
              <w:spacing w:lineRule="auto" w:line="328" w:before="0" w:after="240"/>
              <w:ind w:left="0" w:right="0" w:hanging="0"/>
              <w:jc w:val="both"/>
              <w:rPr>
                <w:rFonts w:ascii="Times New Roman;Times;serif" w:hAnsi="Times New Roman;Times;serif"/>
                <w:sz w:val="20"/>
              </w:rPr>
            </w:pPr>
            <w:r>
              <w:rPr>
                <w:rFonts w:ascii="Times New Roman;Times;serif" w:hAnsi="Times New Roman;Times;serif"/>
                <w:sz w:val="20"/>
              </w:rPr>
              <w:t>Holder’s Signature:</w:t>
            </w:r>
            <w:r>
              <w:rPr>
                <w:rFonts w:ascii="Times New Roman;Times;serif" w:hAnsi="Times New Roman;Times;serif"/>
                <w:sz w:val="20"/>
                <w:u w:val="single"/>
              </w:rPr>
              <w:t>​ ​</w:t>
            </w:r>
          </w:p>
        </w:tc>
        <w:tc>
          <w:tcPr>
            <w:tcW w:w="4141" w:type="dxa"/>
            <w:tcBorders/>
            <w:vAlign w:val="center"/>
          </w:tcPr>
          <w:p>
            <w:pPr>
              <w:pStyle w:val="TableContents"/>
              <w:bidi w:val="0"/>
              <w:spacing w:lineRule="auto" w:line="328" w:before="0" w:after="240"/>
              <w:ind w:left="0" w:right="0" w:hanging="0"/>
              <w:jc w:val="left"/>
              <w:rPr/>
            </w:pPr>
            <w:r>
              <w:rPr/>
              <w:t>​</w:t>
            </w:r>
          </w:p>
        </w:tc>
      </w:tr>
      <w:tr>
        <w:trPr/>
        <w:tc>
          <w:tcPr>
            <w:tcW w:w="3256" w:type="dxa"/>
            <w:tcBorders/>
            <w:vAlign w:val="center"/>
          </w:tcPr>
          <w:p>
            <w:pPr>
              <w:pStyle w:val="TableContents"/>
              <w:bidi w:val="0"/>
              <w:spacing w:lineRule="auto" w:line="328" w:before="0" w:after="600"/>
              <w:ind w:left="0" w:right="0" w:hanging="0"/>
              <w:jc w:val="both"/>
              <w:rPr>
                <w:rFonts w:ascii="Times New Roman;Times;serif" w:hAnsi="Times New Roman;Times;serif"/>
                <w:sz w:val="20"/>
              </w:rPr>
            </w:pPr>
            <w:r>
              <w:rPr>
                <w:rFonts w:ascii="Times New Roman;Times;serif" w:hAnsi="Times New Roman;Times;serif"/>
                <w:sz w:val="20"/>
              </w:rPr>
              <w:t>Holder’s Address:</w:t>
            </w:r>
            <w:r>
              <w:rPr>
                <w:rFonts w:ascii="Times New Roman;Times;serif" w:hAnsi="Times New Roman;Times;serif"/>
                <w:sz w:val="20"/>
                <w:u w:val="single"/>
              </w:rPr>
              <w:t>​ ​</w:t>
            </w:r>
          </w:p>
        </w:tc>
        <w:tc>
          <w:tcPr>
            <w:tcW w:w="4141" w:type="dxa"/>
            <w:tcBorders/>
            <w:vAlign w:val="center"/>
          </w:tcPr>
          <w:p>
            <w:pPr>
              <w:pStyle w:val="TableContents"/>
              <w:bidi w:val="0"/>
              <w:spacing w:lineRule="auto" w:line="328" w:before="0" w:after="600"/>
              <w:ind w:left="0" w:right="0" w:hanging="0"/>
              <w:jc w:val="left"/>
              <w:rPr/>
            </w:pPr>
            <w:r>
              <w:rPr/>
              <w:t>​</w:t>
            </w:r>
          </w:p>
        </w:tc>
      </w:tr>
    </w:tbl>
    <w:p>
      <w:pPr>
        <w:pStyle w:val="TextBody"/>
        <w:pBdr/>
        <w:bidi w:val="0"/>
        <w:spacing w:before="0" w:after="0"/>
        <w:ind w:left="0" w:right="0" w:hanging="0"/>
        <w:jc w:val="left"/>
        <w:rPr/>
      </w:pPr>
      <w:r>
        <w:rPr/>
        <w:t> </w:t>
      </w:r>
    </w:p>
    <w:p>
      <w:pPr>
        <w:pStyle w:val="TextBody"/>
        <w:pBdr/>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OF PRE-FUNDED WARRANT</w:t>
      </w:r>
    </w:p>
    <w:p>
      <w:pPr>
        <w:pStyle w:val="TextBody"/>
        <w:pBdr/>
        <w:bidi w:val="0"/>
        <w:spacing w:before="0" w:after="0"/>
        <w:ind w:left="0" w:right="0" w:hanging="0"/>
        <w:jc w:val="left"/>
        <w:rPr/>
      </w:pPr>
      <w:r>
        <w:rPr/>
        <w:t> </w:t>
      </w:r>
    </w:p>
    <w:p>
      <w:pPr>
        <w:pStyle w:val="TextBody"/>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[To be Attached]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bookmarkStart w:id="121" w:name="aeon-20260713xex4d4.htm"/>
      <w:bookmarkStart w:id="122" w:name="ksaeon20260713xex4d4"/>
      <w:bookmarkEnd w:id="121"/>
      <w:bookmarkEnd w:id="122"/>
      <w:r>
        <w:rPr>
          <w:rFonts w:ascii="Times New Roman;Times;serif" w:hAnsi="Times New Roman;Times;serif"/>
          <w:sz w:val="22"/>
        </w:rPr>
        <w:t>Exhibit 4.4</w:t>
      </w:r>
      <w:r>
        <w:br w:type="page"/>
      </w:r>
    </w:p>
    <w:p>
      <w:pPr>
        <w:pStyle w:val="TextBody"/>
        <w:bidi w:val="0"/>
        <w:spacing w:lineRule="atLeast" w:line="273" w:before="15" w:after="0"/>
        <w:ind w:left="0" w:right="0" w:hanging="0"/>
        <w:jc w:val="right"/>
        <w:rPr>
          <w:rFonts w:ascii="Times New Roman;Times;serif" w:hAnsi="Times New Roman;Times;serif"/>
          <w:b/>
          <w:sz w:val="24"/>
        </w:rPr>
      </w:pPr>
      <w:r>
        <w:rPr>
          <w:rFonts w:ascii="Times New Roman;Times;serif" w:hAnsi="Times New Roman;Times;serif"/>
          <w:b/>
          <w:sz w:val="24"/>
        </w:rPr>
        <w:t>EXECUTION VERSION</w:t>
      </w:r>
    </w:p>
    <w:p>
      <w:pPr>
        <w:pStyle w:val="TextBody"/>
        <w:bidi w:val="0"/>
        <w:spacing w:lineRule="atLeast" w:line="273" w:before="456" w:after="0"/>
        <w:ind w:left="0" w:right="0" w:hanging="0"/>
        <w:jc w:val="center"/>
        <w:rPr>
          <w:rFonts w:ascii="Times New Roman;Times;serif" w:hAnsi="Times New Roman;Times;serif"/>
          <w:b/>
          <w:sz w:val="24"/>
        </w:rPr>
      </w:pPr>
      <w:r>
        <w:rPr>
          <w:rFonts w:ascii="Times New Roman;Times;serif" w:hAnsi="Times New Roman;Times;serif"/>
          <w:b/>
          <w:sz w:val="24"/>
        </w:rPr>
        <w:t>WARRANT AGENCY AGREEMENT</w:t>
      </w:r>
    </w:p>
    <w:p>
      <w:pPr>
        <w:pStyle w:val="TextBody"/>
        <w:bidi w:val="0"/>
        <w:spacing w:lineRule="atLeast" w:line="275" w:before="228" w:after="0"/>
        <w:ind w:left="0" w:right="0" w:firstLine="720"/>
        <w:jc w:val="both"/>
        <w:rPr>
          <w:rFonts w:ascii="Times New Roman;Times;serif" w:hAnsi="Times New Roman;Times;serif"/>
          <w:sz w:val="24"/>
        </w:rPr>
      </w:pPr>
      <w:r>
        <w:rPr>
          <w:rFonts w:ascii="Times New Roman;Times;serif" w:hAnsi="Times New Roman;Times;serif"/>
          <w:sz w:val="24"/>
        </w:rPr>
        <w:t>THIS WARRANT AGENCY AGREEMENT (this “Agreement”), dated as of July 15, 2026, is entered into by and between AEON Biopharma, Inc., a Delaware corporation (the “Company”), and Continental Stock Transfer &amp; Trust Company, a New York corporation (the “Warrant Agent”).</w:t>
      </w:r>
    </w:p>
    <w:p>
      <w:pPr>
        <w:pStyle w:val="TextBody"/>
        <w:bidi w:val="0"/>
        <w:spacing w:lineRule="atLeast" w:line="275" w:before="250" w:after="0"/>
        <w:ind w:left="0" w:right="0" w:firstLine="720"/>
        <w:jc w:val="both"/>
        <w:rPr>
          <w:rFonts w:ascii="Times New Roman;Times;serif" w:hAnsi="Times New Roman;Times;serif"/>
          <w:spacing w:val="-1"/>
          <w:sz w:val="24"/>
        </w:rPr>
      </w:pPr>
      <w:r>
        <w:rPr>
          <w:rFonts w:ascii="Times New Roman;Times;serif" w:hAnsi="Times New Roman;Times;serif"/>
          <w:spacing w:val="-1"/>
          <w:sz w:val="24"/>
        </w:rPr>
        <w:t>WHEREAS, the Company has filed with the Securities and Exchange Commission a Registration Statement on Form S-1, as amended, No: 333-297327 (the "Registration Statement"), for the registration, under the Securities Act of 1933, as amended (the "Act"), of, among other securities, (i) pre-funded warrants to purchase shares of Common Stock (the "Pre-Funded Warrants"), (ii) two-year milestone warrants to purchase shares of Common Stock (the "Two-Year Milestone Warrants"), (iii) five-year milestone warrants to purchase shares of Common Stock (the "Five-Year Milestone Warrants" and, together with the Two-Year Milestone Warrants, the "Milestone Warrants"; the Milestone Warrants, together with the Pre-Funded Warrants, the "Warrants"), and (iv) the shares of Class A common stock, par value $0.0001 per share, of the Company (the "Common Stock") issuable upon exercise of the Warrants;</w:t>
      </w:r>
    </w:p>
    <w:p>
      <w:pPr>
        <w:pStyle w:val="TextBody"/>
        <w:bidi w:val="0"/>
        <w:spacing w:lineRule="atLeast" w:line="276" w:before="242" w:after="0"/>
        <w:ind w:left="0" w:right="0" w:firstLine="720"/>
        <w:jc w:val="both"/>
        <w:rPr>
          <w:rFonts w:ascii="Times New Roman;Times;serif" w:hAnsi="Times New Roman;Times;serif"/>
          <w:sz w:val="24"/>
        </w:rPr>
      </w:pPr>
      <w:r>
        <w:rPr>
          <w:rFonts w:ascii="Times New Roman;Times;serif" w:hAnsi="Times New Roman;Times;serif"/>
          <w:sz w:val="24"/>
        </w:rPr>
        <w:t>WHEREAS, the Company desires the Warrant Agent to act on behalf of the Company, and the Warrant Agent is willing to so act, in connection with the issuance, registration, transfer, exchange and exercise of the Warrants;</w:t>
      </w:r>
    </w:p>
    <w:p>
      <w:pPr>
        <w:pStyle w:val="TextBody"/>
        <w:bidi w:val="0"/>
        <w:spacing w:lineRule="atLeast" w:line="278" w:before="237" w:after="0"/>
        <w:ind w:left="0" w:right="0" w:firstLine="720"/>
        <w:jc w:val="both"/>
        <w:rPr>
          <w:rFonts w:ascii="Times New Roman;Times;serif" w:hAnsi="Times New Roman;Times;serif"/>
          <w:spacing w:val="-1"/>
          <w:sz w:val="24"/>
        </w:rPr>
      </w:pPr>
      <w:r>
        <w:rPr>
          <w:rFonts w:ascii="Times New Roman;Times;serif" w:hAnsi="Times New Roman;Times;serif"/>
          <w:spacing w:val="-1"/>
          <w:sz w:val="24"/>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pStyle w:val="TextBody"/>
        <w:bidi w:val="0"/>
        <w:spacing w:lineRule="atLeast" w:line="275" w:before="239" w:after="0"/>
        <w:ind w:left="0" w:right="0" w:firstLine="720"/>
        <w:jc w:val="both"/>
        <w:rPr>
          <w:rFonts w:ascii="Times New Roman;Times;serif" w:hAnsi="Times New Roman;Times;serif"/>
          <w:sz w:val="24"/>
        </w:rPr>
      </w:pPr>
      <w:r>
        <w:rPr>
          <w:rFonts w:ascii="Times New Roman;Times;serif" w:hAnsi="Times New Roman;Times;serif"/>
          <w:sz w:val="24"/>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pStyle w:val="TextBody"/>
        <w:bidi w:val="0"/>
        <w:spacing w:lineRule="atLeast" w:line="279" w:before="239" w:after="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mutual agreements herein contained, the parties hereto agree as follows:</w:t>
      </w:r>
    </w:p>
    <w:p>
      <w:pPr>
        <w:pStyle w:val="TextBody"/>
        <w:bidi w:val="0"/>
        <w:spacing w:lineRule="atLeast" w:line="277" w:before="0" w:after="0"/>
        <w:ind w:left="0" w:right="0" w:hanging="0"/>
        <w:jc w:val="both"/>
        <w:rPr>
          <w:rFonts w:ascii="Times New Roman;Times;serif" w:hAnsi="Times New Roman;Times;serif"/>
          <w:sz w:val="22"/>
        </w:rPr>
      </w:pPr>
      <w:r>
        <w:rPr>
          <w:rFonts w:ascii="Times New Roman;Times;serif" w:hAnsi="Times New Roman;Times;serif"/>
          <w:sz w:val="24"/>
        </w:rPr>
        <w:t>1.</w:t>
      </w:r>
      <w:r>
        <w:rPr>
          <w:rFonts w:ascii="Times New Roman;Times;serif" w:hAnsi="Times New Roman;Times;serif"/>
          <w:sz w:val="24"/>
          <w:u w:val="single"/>
        </w:rPr>
        <w:t>Appointment of Warrant Agent</w:t>
      </w:r>
      <w:r>
        <w:rPr>
          <w:rFonts w:ascii="Times New Roman;Times;serif" w:hAnsi="Times New Roman;Times;serif"/>
          <w:sz w:val="24"/>
        </w:rPr>
        <w:t>. The Company hereby appoints the Warrant Agent to act as agent for the Company for the Warrants, and the Warrant Agent hereby accepts such appointment and agrees to perform the same in accordance with the terms and conditions set forth in this Agreement.</w:t>
      </w:r>
    </w:p>
    <w:p>
      <w:pPr>
        <w:pStyle w:val="TextBody"/>
        <w:bidi w:val="0"/>
        <w:spacing w:lineRule="atLeast" w:line="274" w:before="242" w:after="283"/>
        <w:ind w:left="0" w:right="0" w:hanging="0"/>
        <w:jc w:val="both"/>
        <w:rPr>
          <w:rFonts w:ascii="Times New Roman;Times;serif" w:hAnsi="Times New Roman;Times;serif"/>
          <w:sz w:val="22"/>
        </w:rPr>
      </w:pPr>
      <w:r>
        <w:rPr>
          <w:rFonts w:ascii="Times New Roman;Times;serif" w:hAnsi="Times New Roman;Times;serif"/>
          <w:sz w:val="24"/>
        </w:rPr>
        <w:t>2.</w:t>
      </w:r>
      <w:r>
        <w:rPr>
          <w:rFonts w:ascii="Times New Roman;Times;serif" w:hAnsi="Times New Roman;Times;serif"/>
          <w:sz w:val="24"/>
          <w:u w:val="single"/>
        </w:rPr>
        <w:t>Warrants</w:t>
      </w:r>
      <w:r>
        <w:rPr>
          <w:rFonts w:ascii="Times New Roman;Times;serif" w:hAnsi="Times New Roman;Times;serif"/>
          <w:sz w:val="24"/>
        </w:rPr>
        <w:t>.</w:t>
      </w:r>
    </w:p>
    <w:p>
      <w:pPr>
        <w:pStyle w:val="TextBody"/>
        <w:bidi w:val="0"/>
        <w:spacing w:lineRule="atLeast" w:line="275" w:before="242"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Form of Warrant</w:t>
      </w:r>
      <w:r>
        <w:rPr>
          <w:rFonts w:ascii="Times New Roman;Times;serif" w:hAnsi="Times New Roman;Times;serif"/>
          <w:sz w:val="24"/>
        </w:rPr>
        <w:t>. Each Two-Year Milestone Warrant shall be (a) issued in registered form only, (b) in substantially the form of Exhibit A-1 hereto, the provisions of which are incorporated herein, and (c) signed by, or bear the facsimile signature of, the Chief Executive Officer or Chief Financial Officer of the Company. Each Five-Year Milestone Warrant shall be (a) issued in registered form only, (b) in substantially the form of Exhibit A-2 hereto, the provisions of which are incorporated herein, and (c) signed by, or bear the facsimile signature of, the Chief Executive Officer or Chief Financial Officer of the Company.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7" w:before="8"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Effect of Countersignature</w:t>
      </w:r>
      <w:r>
        <w:rPr>
          <w:rFonts w:ascii="Times New Roman;Times;serif" w:hAnsi="Times New Roman;Times;serif"/>
          <w:sz w:val="24"/>
        </w:rPr>
        <w:t>. Unless and until countersigned by the Warrant Agent pursuant to this Agreement, a Warrant shall be invalid and of no effect and may not be exercised by the holder thereof.</w:t>
      </w:r>
    </w:p>
    <w:p>
      <w:pPr>
        <w:pStyle w:val="TextBody"/>
        <w:bidi w:val="0"/>
        <w:spacing w:lineRule="atLeast" w:line="277" w:before="237"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Registration</w:t>
      </w:r>
      <w:r>
        <w:rPr>
          <w:rFonts w:ascii="Times New Roman;Times;serif" w:hAnsi="Times New Roman;Times;serif"/>
          <w:sz w:val="24"/>
        </w:rPr>
        <w:t>.</w:t>
      </w:r>
    </w:p>
    <w:p>
      <w:pPr>
        <w:pStyle w:val="TextBody"/>
        <w:bidi w:val="0"/>
        <w:spacing w:lineRule="atLeast" w:line="277" w:before="237" w:after="0"/>
        <w:ind w:left="0" w:right="0" w:firstLine="1440"/>
        <w:jc w:val="both"/>
        <w:rPr>
          <w:rFonts w:ascii="Times New Roman;Times;serif" w:hAnsi="Times New Roman;Times;serif"/>
          <w:sz w:val="22"/>
        </w:rPr>
      </w:pPr>
      <w:r>
        <w:rPr>
          <w:rFonts w:ascii="Times New Roman;Times;serif" w:hAnsi="Times New Roman;Times;serif"/>
          <w:sz w:val="24"/>
        </w:rPr>
        <w:t xml:space="preserve">2.3.1 </w:t>
      </w:r>
      <w:r>
        <w:rPr>
          <w:rFonts w:ascii="Times New Roman;Times;serif" w:hAnsi="Times New Roman;Times;serif"/>
          <w:sz w:val="24"/>
          <w:u w:val="single"/>
        </w:rPr>
        <w:t>Warrant Register</w:t>
      </w:r>
      <w:r>
        <w:rPr>
          <w:rFonts w:ascii="Times New Roman;Times;serif" w:hAnsi="Times New Roman;Times;serif"/>
          <w:sz w:val="24"/>
        </w:rPr>
        <w:t>. The Warrant Agent shall maintain books (the “Warrant Register”)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pStyle w:val="TextBody"/>
        <w:bidi w:val="0"/>
        <w:spacing w:lineRule="atLeast" w:line="277" w:before="232" w:after="0"/>
        <w:ind w:left="0" w:right="0" w:firstLine="1440"/>
        <w:jc w:val="both"/>
        <w:rPr>
          <w:rFonts w:ascii="Times New Roman;Times;serif" w:hAnsi="Times New Roman;Times;serif"/>
          <w:sz w:val="22"/>
        </w:rPr>
      </w:pPr>
      <w:r>
        <w:rPr>
          <w:rFonts w:ascii="Times New Roman;Times;serif" w:hAnsi="Times New Roman;Times;serif"/>
          <w:spacing w:val="1"/>
          <w:sz w:val="24"/>
        </w:rPr>
        <w:t xml:space="preserve">2.3.2 </w:t>
      </w:r>
      <w:r>
        <w:rPr>
          <w:rFonts w:ascii="Times New Roman;Times;serif" w:hAnsi="Times New Roman;Times;serif"/>
          <w:spacing w:val="1"/>
          <w:sz w:val="24"/>
          <w:u w:val="single"/>
        </w:rPr>
        <w:t>Registered Holder</w:t>
      </w:r>
      <w:r>
        <w:rPr>
          <w:rFonts w:ascii="Times New Roman;Times;serif" w:hAnsi="Times New Roman;Times;serif"/>
          <w:spacing w:val="1"/>
          <w:sz w:val="24"/>
        </w:rPr>
        <w:t>. Prior to due presentment for registration of transfer of any Warrant, the Company and the Warrant Agent may deem and treat the person in whose name such Warrant shall be registered upon the Warrant Register (the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pStyle w:val="TextBody"/>
        <w:bidi w:val="0"/>
        <w:spacing w:lineRule="atLeast" w:line="277" w:before="237"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Terms and Exercise of Warrants</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7" w:before="233"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Warrant Price</w:t>
      </w:r>
      <w:r>
        <w:rPr>
          <w:rFonts w:ascii="Times New Roman;Times;serif" w:hAnsi="Times New Roman;Times;serif"/>
          <w:sz w:val="24"/>
        </w:rPr>
        <w:t>. Each Warrant shall entitle the registered holder thereof, subject to the provisions of such Warrant, as the case may be, and of this Agreement, to purchase from the Company the number of shares of Common Stock (or Pre-Funded Warrants (as defined in the Warrants) in lieu thereof, at the option of the holder) stated therein, at the applicable Exercise Price (as defined in the Warrants), subject to the adjustments provided in Section 4 hereof and in the applicable Warrant.</w:t>
      </w:r>
    </w:p>
    <w:p>
      <w:pPr>
        <w:pStyle w:val="TextBody"/>
        <w:bidi w:val="0"/>
        <w:spacing w:lineRule="atLeast" w:line="277" w:before="238"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Duration of Warrants</w:t>
      </w:r>
      <w:r>
        <w:rPr>
          <w:rFonts w:ascii="Times New Roman;Times;serif" w:hAnsi="Times New Roman;Times;serif"/>
          <w:sz w:val="24"/>
        </w:rPr>
        <w:t>. Each Warrant shall be exercisable at any time on or after the Initial Exercise Date (as defined in the applicable Warrant) and on or before the Termination Date (as defined in the applicable Warrant). Each Warrant not exercised on or before the applicable Termination Date shall become void, and all rights thereunder and all rights in respect thereof under this Agreement shall cease at the close of business on such Termination Date.</w:t>
      </w:r>
    </w:p>
    <w:p>
      <w:pPr>
        <w:pStyle w:val="TextBody"/>
        <w:bidi w:val="0"/>
        <w:spacing w:lineRule="atLeast" w:line="277" w:before="237"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Exercise of Warrants</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7" w:before="229" w:after="0"/>
        <w:ind w:left="0" w:right="0" w:firstLine="1440"/>
        <w:jc w:val="both"/>
        <w:rPr>
          <w:rFonts w:ascii="Times New Roman;Times;serif" w:hAnsi="Times New Roman;Times;serif"/>
          <w:sz w:val="22"/>
        </w:rPr>
      </w:pPr>
      <w:r>
        <w:rPr>
          <w:rFonts w:ascii="Times New Roman;Times;serif" w:hAnsi="Times New Roman;Times;serif"/>
          <w:sz w:val="24"/>
        </w:rPr>
        <w:t xml:space="preserve">3.3.1 </w:t>
      </w:r>
      <w:r>
        <w:rPr>
          <w:rFonts w:ascii="Times New Roman;Times;serif" w:hAnsi="Times New Roman;Times;serif"/>
          <w:sz w:val="24"/>
          <w:u w:val="single"/>
        </w:rPr>
        <w:t>Payment</w:t>
      </w:r>
      <w:r>
        <w:rPr>
          <w:rFonts w:ascii="Times New Roman;Times;serif" w:hAnsi="Times New Roman;Times;serif"/>
          <w:sz w:val="24"/>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full share of Common Stock as to which the Warrant is exercised and any and all applicable taxes due in connection with the exercise of the Warrant, as follows: (a) by wire transfer of immediately available funds or certified check payable to the order of the Company; or (b) by "cashless exercise" in accordance with, and subject to the conditions set forth in, Section 2(c) of the applicable Warrant.</w:t>
      </w:r>
    </w:p>
    <w:p>
      <w:pPr>
        <w:pStyle w:val="TextBody"/>
        <w:bidi w:val="0"/>
        <w:spacing w:lineRule="atLeast" w:line="277" w:before="59"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9" w:before="9" w:after="0"/>
        <w:ind w:left="0" w:right="0" w:firstLine="1440"/>
        <w:jc w:val="both"/>
        <w:rPr>
          <w:rFonts w:ascii="Times New Roman;Times;serif" w:hAnsi="Times New Roman;Times;serif"/>
          <w:sz w:val="22"/>
        </w:rPr>
      </w:pPr>
      <w:r>
        <w:rPr>
          <w:rFonts w:ascii="Times New Roman;Times;serif" w:hAnsi="Times New Roman;Times;serif"/>
          <w:sz w:val="24"/>
        </w:rPr>
        <w:t xml:space="preserve">3.3.2 </w:t>
      </w:r>
      <w:r>
        <w:rPr>
          <w:rFonts w:ascii="Times New Roman;Times;serif" w:hAnsi="Times New Roman;Times;serif"/>
          <w:sz w:val="24"/>
          <w:u w:val="single"/>
        </w:rPr>
        <w:t>Issuance of Certificates</w:t>
      </w:r>
      <w:r>
        <w:rPr>
          <w:rFonts w:ascii="Times New Roman;Times;serif" w:hAnsi="Times New Roman;Times;serif"/>
          <w:sz w:val="24"/>
        </w:rPr>
        <w:t>. If a registration statement under the Act with respect to the Common Stock issuable upon exercise of such Warrant is not then effective or a current prospectus is not then available for delivery to the Warrant holders, the registered holder may, in lieu of exercising such Warrant for Common Stock, elect to exercise the Warrant on a cashless basis in accordance with Section 2(c) of the applicable Warrant. In no event will the Company be required to "net cash settle" any Warrant exercise.</w:t>
      </w:r>
    </w:p>
    <w:p>
      <w:pPr>
        <w:pStyle w:val="TextBody"/>
        <w:bidi w:val="0"/>
        <w:spacing w:lineRule="atLeast" w:line="279" w:before="228" w:after="0"/>
        <w:ind w:left="0" w:right="0" w:firstLine="1440"/>
        <w:jc w:val="both"/>
        <w:rPr>
          <w:rFonts w:ascii="Times New Roman;Times;serif" w:hAnsi="Times New Roman;Times;serif"/>
          <w:sz w:val="22"/>
        </w:rPr>
      </w:pPr>
      <w:r>
        <w:rPr>
          <w:rFonts w:ascii="Times New Roman;Times;serif" w:hAnsi="Times New Roman;Times;serif"/>
          <w:sz w:val="24"/>
        </w:rPr>
        <w:t xml:space="preserve">3.3.3 </w:t>
      </w:r>
      <w:r>
        <w:rPr>
          <w:rFonts w:ascii="Times New Roman;Times;serif" w:hAnsi="Times New Roman;Times;serif"/>
          <w:sz w:val="24"/>
          <w:u w:val="single"/>
        </w:rPr>
        <w:t>Valid Issuance</w:t>
      </w:r>
      <w:r>
        <w:rPr>
          <w:rFonts w:ascii="Times New Roman;Times;serif" w:hAnsi="Times New Roman;Times;serif"/>
          <w:sz w:val="24"/>
        </w:rPr>
        <w:t>. All shares of Common Stock issued upon the proper exercise of a Warrant in conformity with this Agreement shall be validly issued, fully paid and nonassessable.</w:t>
      </w:r>
    </w:p>
    <w:p>
      <w:pPr>
        <w:pStyle w:val="TextBody"/>
        <w:bidi w:val="0"/>
        <w:spacing w:lineRule="atLeast" w:line="279" w:before="222" w:after="0"/>
        <w:ind w:left="0" w:right="0" w:firstLine="1440"/>
        <w:jc w:val="both"/>
        <w:rPr>
          <w:rFonts w:ascii="Times New Roman;Times;serif" w:hAnsi="Times New Roman;Times;serif"/>
          <w:sz w:val="22"/>
        </w:rPr>
      </w:pPr>
      <w:r>
        <w:rPr>
          <w:rFonts w:ascii="Times New Roman;Times;serif" w:hAnsi="Times New Roman;Times;serif"/>
          <w:sz w:val="24"/>
        </w:rPr>
        <w:t xml:space="preserve">3.3.4 </w:t>
      </w:r>
      <w:r>
        <w:rPr>
          <w:rFonts w:ascii="Times New Roman;Times;serif" w:hAnsi="Times New Roman;Times;serif"/>
          <w:sz w:val="24"/>
          <w:u w:val="single"/>
        </w:rPr>
        <w:t>Date of Issuance</w:t>
      </w:r>
      <w:r>
        <w:rPr>
          <w:rFonts w:ascii="Times New Roman;Times;serif" w:hAnsi="Times New Roman;Times;serif"/>
          <w:sz w:val="24"/>
        </w:rPr>
        <w:t>. Each person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pStyle w:val="TextBody"/>
        <w:bidi w:val="0"/>
        <w:spacing w:lineRule="atLeast" w:line="279" w:before="235"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Adjustments</w:t>
      </w:r>
      <w:r>
        <w:rPr>
          <w:rFonts w:ascii="Times New Roman;Times;serif" w:hAnsi="Times New Roman;Times;serif"/>
          <w:sz w:val="24"/>
        </w:rPr>
        <w:t>.</w:t>
      </w:r>
    </w:p>
    <w:p>
      <w:pPr>
        <w:pStyle w:val="TextBody"/>
        <w:bidi w:val="0"/>
        <w:spacing w:lineRule="atLeast" w:line="279" w:before="221"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1"/>
          <w:sz w:val="24"/>
        </w:rPr>
        <w:t>4.1</w:t>
      </w:r>
      <w:r>
        <w:rPr>
          <w:rFonts w:ascii="Times New Roman;Times;serif" w:hAnsi="Times New Roman;Times;serif"/>
          <w:spacing w:val="-1"/>
          <w:sz w:val="24"/>
          <w:u w:val="single"/>
        </w:rPr>
        <w:t>Stock Dividends - Split-Ups</w:t>
      </w:r>
      <w:r>
        <w:rPr>
          <w:rFonts w:ascii="Times New Roman;Times;serif" w:hAnsi="Times New Roman;Times;serif"/>
          <w:spacing w:val="-1"/>
          <w:sz w:val="24"/>
        </w:rPr>
        <w:t>. If, after the date hereof, and subject to the provisions of Section 4.6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outstanding shares of Common Stock.</w:t>
      </w:r>
    </w:p>
    <w:p>
      <w:pPr>
        <w:pStyle w:val="TextBody"/>
        <w:bidi w:val="0"/>
        <w:spacing w:lineRule="atLeast" w:line="279" w:before="222"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Aggregation of Shares</w:t>
      </w:r>
      <w:r>
        <w:rPr>
          <w:rFonts w:ascii="Times New Roman;Times;serif" w:hAnsi="Times New Roman;Times;serif"/>
          <w:sz w:val="24"/>
        </w:rPr>
        <w:t>. If, after the date hereof, and subject to the provisions of Section 4.6,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pStyle w:val="TextBody"/>
        <w:bidi w:val="0"/>
        <w:spacing w:lineRule="atLeast" w:line="279" w:before="216"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Adjustments in Exercise Price</w:t>
      </w:r>
      <w:r>
        <w:rPr>
          <w:rFonts w:ascii="Times New Roman;Times;serif" w:hAnsi="Times New Roman;Times;serif"/>
          <w:sz w:val="24"/>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pStyle w:val="TextBody"/>
        <w:bidi w:val="0"/>
        <w:spacing w:lineRule="atLeast" w:line="279" w:before="236" w:after="0"/>
        <w:ind w:left="720" w:right="0" w:hanging="0"/>
        <w:jc w:val="both"/>
        <w:rPr>
          <w:rFonts w:ascii="Times New Roman;Times;serif" w:hAnsi="Times New Roman;Times;serif"/>
          <w:sz w:val="22"/>
        </w:rPr>
      </w:pPr>
      <w:r>
        <w:rPr>
          <w:rFonts w:ascii="Times New Roman;Times;serif" w:hAnsi="Times New Roman;Times;serif"/>
          <w:b w:val="false"/>
          <w:i w:val="false"/>
          <w:caps w:val="false"/>
          <w:smallCaps w:val="false"/>
          <w:sz w:val="24"/>
          <w:shd w:fill="FFFFFF" w:val="clear"/>
        </w:rPr>
        <w:t>4.4</w:t>
      </w:r>
      <w:r>
        <w:rPr>
          <w:rFonts w:ascii="Times New Roman;Times;serif" w:hAnsi="Times New Roman;Times;serif"/>
          <w:b w:val="false"/>
          <w:i w:val="false"/>
          <w:caps w:val="false"/>
          <w:smallCaps w:val="false"/>
          <w:sz w:val="24"/>
          <w:u w:val="single"/>
          <w:shd w:fill="FFFFFF" w:val="clear"/>
        </w:rPr>
        <w:t>Replacement of Securities upon Reorganization, etc</w:t>
      </w:r>
      <w:r>
        <w:rPr>
          <w:rFonts w:ascii="Times New Roman;Times;serif" w:hAnsi="Times New Roman;Times;serif"/>
          <w:b w:val="false"/>
          <w:i w:val="false"/>
          <w:caps w:val="false"/>
          <w:smallCaps w:val="false"/>
          <w:sz w:val="24"/>
          <w:shd w:fill="FFFFFF" w:val="clear"/>
        </w:rPr>
        <w:t>.</w:t>
      </w:r>
      <w:r>
        <w:rPr>
          <w:rFonts w:ascii="Times New Roman;Times;serif" w:hAnsi="Times New Roman;Times;serif"/>
          <w:b w:val="false"/>
          <w:i w:val="false"/>
          <w:caps w:val="false"/>
          <w:smallCaps w:val="false"/>
          <w:sz w:val="24"/>
          <w:shd w:fill="FFFFFF" w:val="clear"/>
        </w:rPr>
        <w:t>In case of any</w:t>
      </w:r>
      <w:r>
        <mc:AlternateContent>
          <mc:Choice Requires="wps">
            <w:drawing>
              <wp:anchor behindDoc="0" distT="0" distB="0" distL="0" distR="0" simplePos="0" locked="0" layoutInCell="1" allowOverlap="1" relativeHeight="25">
                <wp:simplePos x="0" y="0"/>
                <wp:positionH relativeFrom="page">
                  <wp:posOffset>0</wp:posOffset>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tLeast" w:line="277" w:before="0" w:after="0"/>
        <w:ind w:left="0" w:right="0" w:hanging="0"/>
        <w:jc w:val="left"/>
        <w:rPr>
          <w:rFonts w:ascii="Times New Roman;Times;serif" w:hAnsi="Times New Roman;Times;serif"/>
          <w:spacing w:val="5"/>
          <w:sz w:val="24"/>
        </w:rPr>
      </w:pPr>
      <w:r>
        <w:rPr>
          <w:rFonts w:ascii="Times New Roman;Times;serif" w:hAnsi="Times New Roman;Times;serif"/>
          <w:spacing w:val="5"/>
          <w:sz w:val="24"/>
        </w:rPr>
        <w:t>reclassification or reorganization of the outstanding shares of Common Stock (other than a</w:t>
      </w:r>
    </w:p>
    <w:p>
      <w:pPr>
        <w:pStyle w:val="TextBody"/>
        <w:bidi w:val="0"/>
        <w:spacing w:lineRule="atLeast" w:line="279" w:before="57"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6" w:before="7" w:after="0"/>
        <w:ind w:left="0" w:right="0" w:hanging="0"/>
        <w:jc w:val="both"/>
        <w:rPr>
          <w:rFonts w:ascii="Times New Roman;Times;serif" w:hAnsi="Times New Roman;Times;serif"/>
          <w:spacing w:val="-1"/>
          <w:sz w:val="24"/>
        </w:rPr>
      </w:pPr>
      <w:r>
        <w:rPr>
          <w:rFonts w:ascii="Times New Roman;Times;serif" w:hAnsi="Times New Roman;Times;serif"/>
          <w:spacing w:val="-1"/>
          <w:sz w:val="24"/>
        </w:rPr>
        <w:t>change covered by Section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and if any reclassification also results in a change in shares of Common Stock covered by Section 4.1 or 4.2, then such adjustment shall be made pursuant to Sections 4.1, 4.2, 4.3 and this</w:t>
      </w:r>
    </w:p>
    <w:p>
      <w:pPr>
        <w:pStyle w:val="TextBody"/>
        <w:bidi w:val="0"/>
        <w:spacing w:lineRule="atLeast" w:line="276"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Section 4.4.</w:t>
      </w:r>
      <w:r>
        <w:rPr>
          <w:rFonts w:ascii="Times New Roman;Times;serif" w:hAnsi="Times New Roman;Times;serif"/>
          <w:sz w:val="24"/>
        </w:rPr>
        <w:t xml:space="preserve">The provisions of this Section 4.4 shall similarly apply to successive </w:t>
        <w:br/>
        <w:t>reclassifications, reorganizations, mergers or consolidations, sales or other transfers.</w:t>
      </w:r>
    </w:p>
    <w:p>
      <w:pPr>
        <w:pStyle w:val="TextBody"/>
        <w:bidi w:val="0"/>
        <w:spacing w:lineRule="atLeast" w:line="276" w:before="241" w:after="0"/>
        <w:ind w:left="720" w:right="0" w:hanging="0"/>
        <w:jc w:val="left"/>
        <w:rPr>
          <w:rFonts w:ascii="Times New Roman;Times;serif" w:hAnsi="Times New Roman;Times;serif"/>
          <w:sz w:val="22"/>
        </w:rPr>
      </w:pPr>
      <w:r>
        <w:rPr>
          <w:rFonts w:ascii="Times New Roman;Times;serif" w:hAnsi="Times New Roman;Times;serif"/>
          <w:sz w:val="24"/>
        </w:rPr>
        <w:t>4.5</w:t>
      </w:r>
      <w:r>
        <w:rPr>
          <w:rFonts w:ascii="Times New Roman;Times;serif" w:hAnsi="Times New Roman;Times;serif"/>
          <w:sz w:val="24"/>
          <w:u w:val="single"/>
        </w:rPr>
        <w:t>Notices of Changes in Warrant</w:t>
      </w:r>
      <w:r>
        <w:rPr>
          <w:rFonts w:ascii="Times New Roman;Times;serif" w:hAnsi="Times New Roman;Times;serif"/>
          <w:sz w:val="24"/>
        </w:rPr>
        <w:t>. Upon every adjustment of the Warrant Price or</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or 4.4,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pStyle w:val="TextBody"/>
        <w:bidi w:val="0"/>
        <w:spacing w:lineRule="atLeast" w:line="276" w:before="241" w:after="0"/>
        <w:ind w:left="720" w:right="0" w:hanging="0"/>
        <w:jc w:val="left"/>
        <w:rPr>
          <w:rFonts w:ascii="Times New Roman;Times;serif" w:hAnsi="Times New Roman;Times;serif"/>
          <w:sz w:val="22"/>
        </w:rPr>
      </w:pPr>
      <w:r>
        <w:rPr>
          <w:rFonts w:ascii="Times New Roman;Times;serif" w:hAnsi="Times New Roman;Times;serif"/>
          <w:sz w:val="24"/>
        </w:rPr>
        <w:t>4.6</w:t>
      </w:r>
      <w:r>
        <w:rPr>
          <w:rFonts w:ascii="Times New Roman;Times;serif" w:hAnsi="Times New Roman;Times;serif"/>
          <w:sz w:val="24"/>
          <w:u w:val="single"/>
        </w:rPr>
        <w:t>No Fractional Shares</w:t>
      </w:r>
      <w:r>
        <w:rPr>
          <w:rFonts w:ascii="Times New Roman;Times;serif" w:hAnsi="Times New Roman;Times;serif"/>
          <w:sz w:val="24"/>
        </w:rPr>
        <w:t>. Notwithstanding any provision contained in this</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Agreement to the contrary, the Company shall not issue fractional shares upon exercise of Warrants. If, by reason of any adjustment made pursuant to this Section 4, the holder of any Warrant would be entitled, upon the exercise of such Warrant, to receive a fractional interest in a share, the Company shall, upon such exercise, round up or down to the nearest whole number the number of shares of Common Stock to be issued to the Warrant holder.</w:t>
      </w:r>
    </w:p>
    <w:p>
      <w:pPr>
        <w:pStyle w:val="TextBody"/>
        <w:bidi w:val="0"/>
        <w:spacing w:lineRule="atLeast" w:line="276" w:before="246" w:after="0"/>
        <w:ind w:left="720" w:right="0" w:hanging="0"/>
        <w:jc w:val="left"/>
        <w:rPr>
          <w:rFonts w:ascii="Times New Roman;Times;serif" w:hAnsi="Times New Roman;Times;serif"/>
          <w:sz w:val="22"/>
        </w:rPr>
      </w:pPr>
      <w:r>
        <w:rPr>
          <w:rFonts w:ascii="Times New Roman;Times;serif" w:hAnsi="Times New Roman;Times;serif"/>
          <w:sz w:val="24"/>
        </w:rPr>
        <w:t>4.7</w:t>
      </w:r>
      <w:r>
        <w:rPr>
          <w:rFonts w:ascii="Times New Roman;Times;serif" w:hAnsi="Times New Roman;Times;serif"/>
          <w:sz w:val="24"/>
          <w:u w:val="single"/>
        </w:rPr>
        <w:t>Form of Warrant</w:t>
      </w:r>
      <w:r>
        <w:rPr>
          <w:rFonts w:ascii="Times New Roman;Times;serif" w:hAnsi="Times New Roman;Times;serif"/>
          <w:sz w:val="24"/>
        </w:rPr>
        <w:t>. The form of Warrant need not be changed because of any</w:t>
      </w:r>
    </w:p>
    <w:p>
      <w:pPr>
        <w:pStyle w:val="TextBody"/>
        <w:bidi w:val="0"/>
        <w:spacing w:lineRule="atLeast" w:line="275" w:before="0" w:after="698"/>
        <w:ind w:left="0" w:right="0" w:hanging="0"/>
        <w:jc w:val="both"/>
        <w:rPr>
          <w:rFonts w:ascii="Times New Roman;Times;serif" w:hAnsi="Times New Roman;Times;serif"/>
          <w:sz w:val="24"/>
        </w:rPr>
      </w:pPr>
      <w:r>
        <w:rPr>
          <w:rFonts w:ascii="Times New Roman;Times;serif" w:hAnsi="Times New Roman;Times;serif"/>
          <w:sz w:val="24"/>
        </w:rPr>
        <w:t>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698"/>
        <w:ind w:left="0" w:right="0" w:hanging="0"/>
        <w:jc w:val="left"/>
        <w:rPr/>
      </w:pPr>
      <w:r>
        <w:rPr/>
        <w:t>​</w:t>
      </w:r>
    </w:p>
    <w:p>
      <w:pPr>
        <w:pStyle w:val="TextBody"/>
        <w:bidi w:val="0"/>
        <w:spacing w:lineRule="atLeast" w:line="274"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3"/>
        <w:ind w:left="0" w:right="0" w:hanging="0"/>
        <w:jc w:val="left"/>
        <w:rPr>
          <w:rFonts w:ascii="Times New Roman;Times;serif" w:hAnsi="Times New Roman;Times;serif"/>
          <w:sz w:val="22"/>
        </w:rPr>
      </w:pPr>
      <w:r>
        <w:rPr>
          <w:rFonts w:ascii="Times New Roman;Times;serif" w:hAnsi="Times New Roman;Times;serif"/>
          <w:sz w:val="24"/>
        </w:rPr>
        <w:t>5.</w:t>
      </w:r>
      <w:r>
        <w:rPr>
          <w:rFonts w:ascii="Times New Roman;Times;serif" w:hAnsi="Times New Roman;Times;serif"/>
          <w:sz w:val="24"/>
          <w:u w:val="single"/>
        </w:rPr>
        <w:t xml:space="preserve">Transfer and Exchange of Warrants. </w:t>
      </w:r>
    </w:p>
    <w:p>
      <w:pPr>
        <w:pStyle w:val="TextBody"/>
        <w:bidi w:val="0"/>
        <w:spacing w:lineRule="atLeast" w:line="280" w:before="233" w:after="0"/>
        <w:ind w:left="720" w:right="0" w:hanging="0"/>
        <w:jc w:val="left"/>
        <w:rPr>
          <w:rFonts w:ascii="Times New Roman;Times;serif" w:hAnsi="Times New Roman;Times;serif"/>
          <w:sz w:val="22"/>
        </w:rPr>
      </w:pPr>
      <w:r>
        <w:rPr>
          <w:rFonts w:ascii="Times New Roman;Times;serif" w:hAnsi="Times New Roman;Times;serif"/>
          <w:sz w:val="24"/>
        </w:rPr>
        <w:t>5.1</w:t>
      </w:r>
      <w:r>
        <w:rPr>
          <w:rFonts w:ascii="Times New Roman;Times;serif" w:hAnsi="Times New Roman;Times;serif"/>
          <w:sz w:val="24"/>
          <w:u w:val="single"/>
        </w:rPr>
        <w:t>Registration of Transfer</w:t>
      </w:r>
      <w:r>
        <w:rPr>
          <w:rFonts w:ascii="Times New Roman;Times;serif" w:hAnsi="Times New Roman;Times;serif"/>
          <w:sz w:val="24"/>
        </w:rPr>
        <w:t>. The Warrant Agent shall register the transfer, from time</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to time, of any outstanding Warrant in the Warrant Register, upon surrender of such Warrant for transfer, properly endorsed with signatures properly medallion guaranteed and accompanied by appropriate instructions for transfer. Upon any such transfer, a new Warrant representing an equal aggregate number of Warrants shall be issued and the old Warrant shall be cancelled by the Warrant Agent. The Warrants so cancelled may be delivered by the Warrant Agent to the Company from time to time upon request.</w:t>
      </w:r>
    </w:p>
    <w:p>
      <w:pPr>
        <w:pStyle w:val="TextBody"/>
        <w:bidi w:val="0"/>
        <w:spacing w:lineRule="atLeast" w:line="280" w:before="240" w:after="0"/>
        <w:ind w:left="720" w:right="0" w:hanging="0"/>
        <w:jc w:val="left"/>
        <w:rPr>
          <w:rFonts w:ascii="Times New Roman;Times;serif" w:hAnsi="Times New Roman;Times;serif"/>
          <w:sz w:val="22"/>
        </w:rPr>
      </w:pPr>
      <w:r>
        <w:rPr>
          <w:rFonts w:ascii="Times New Roman;Times;serif" w:hAnsi="Times New Roman;Times;serif"/>
          <w:sz w:val="24"/>
        </w:rPr>
        <w:t>5.2</w:t>
      </w:r>
      <w:r>
        <w:rPr>
          <w:rFonts w:ascii="Times New Roman;Times;serif" w:hAnsi="Times New Roman;Times;serif"/>
          <w:sz w:val="24"/>
          <w:u w:val="single"/>
        </w:rPr>
        <w:t>Procedure for Surrender of Warrants</w:t>
      </w:r>
      <w:r>
        <w:rPr>
          <w:rFonts w:ascii="Times New Roman;Times;serif" w:hAnsi="Times New Roman;Times;serif"/>
          <w:sz w:val="24"/>
        </w:rPr>
        <w:t>. Warrants may be surrendered to the</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is exempt from registration under the Act and indicating whether the new Warrants must also bear a restrictive legend.</w:t>
      </w:r>
    </w:p>
    <w:p>
      <w:pPr>
        <w:pStyle w:val="TextBody"/>
        <w:bidi w:val="0"/>
        <w:spacing w:lineRule="atLeast" w:line="280" w:before="234" w:after="0"/>
        <w:ind w:left="720" w:right="0" w:hanging="0"/>
        <w:jc w:val="left"/>
        <w:rPr>
          <w:rFonts w:ascii="Times New Roman;Times;serif" w:hAnsi="Times New Roman;Times;serif"/>
          <w:sz w:val="22"/>
        </w:rPr>
      </w:pPr>
      <w:r>
        <w:rPr>
          <w:rFonts w:ascii="Times New Roman;Times;serif" w:hAnsi="Times New Roman;Times;serif"/>
          <w:sz w:val="24"/>
        </w:rPr>
        <w:t>5.3</w:t>
      </w:r>
      <w:r>
        <w:rPr>
          <w:rFonts w:ascii="Times New Roman;Times;serif" w:hAnsi="Times New Roman;Times;serif"/>
          <w:sz w:val="24"/>
          <w:u w:val="single"/>
        </w:rPr>
        <w:t>Fractional Warrants</w:t>
      </w:r>
      <w:r>
        <w:rPr>
          <w:rFonts w:ascii="Times New Roman;Times;serif" w:hAnsi="Times New Roman;Times;serif"/>
          <w:sz w:val="24"/>
        </w:rPr>
        <w:t>. The Warrant Agent shall not be required to effect any</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registration of transfer or exchange which will result in the issuance of a warrant certificate for a fraction of a warrant.</w:t>
      </w:r>
    </w:p>
    <w:p>
      <w:pPr>
        <w:pStyle w:val="TextBody"/>
        <w:bidi w:val="0"/>
        <w:spacing w:lineRule="atLeast" w:line="280" w:before="240" w:after="0"/>
        <w:ind w:left="720" w:right="0" w:hanging="0"/>
        <w:jc w:val="left"/>
        <w:rPr>
          <w:rFonts w:ascii="Times New Roman;Times;serif" w:hAnsi="Times New Roman;Times;serif"/>
          <w:sz w:val="22"/>
        </w:rPr>
      </w:pPr>
      <w:r>
        <w:rPr>
          <w:rFonts w:ascii="Times New Roman;Times;serif" w:hAnsi="Times New Roman;Times;serif"/>
          <w:sz w:val="24"/>
        </w:rPr>
        <w:t>5.4</w:t>
      </w:r>
      <w:r>
        <w:rPr>
          <w:rFonts w:ascii="Times New Roman;Times;serif" w:hAnsi="Times New Roman;Times;serif"/>
          <w:sz w:val="24"/>
          <w:u w:val="single"/>
        </w:rPr>
        <w:t>Service Charges</w:t>
      </w:r>
      <w:r>
        <w:rPr>
          <w:rFonts w:ascii="Times New Roman;Times;serif" w:hAnsi="Times New Roman;Times;serif"/>
          <w:sz w:val="24"/>
        </w:rPr>
        <w:t>. No service charge shall be made for any exchange or</w:t>
      </w:r>
    </w:p>
    <w:p>
      <w:pPr>
        <w:pStyle w:val="TextBody"/>
        <w:bidi w:val="0"/>
        <w:spacing w:lineRule="atLeast" w:line="272" w:before="0" w:after="0"/>
        <w:ind w:left="0" w:right="0" w:hanging="0"/>
        <w:jc w:val="left"/>
        <w:rPr>
          <w:rFonts w:ascii="Times New Roman;Times;serif" w:hAnsi="Times New Roman;Times;serif"/>
          <w:sz w:val="24"/>
        </w:rPr>
      </w:pPr>
      <w:r>
        <w:rPr>
          <w:rFonts w:ascii="Times New Roman;Times;serif" w:hAnsi="Times New Roman;Times;serif"/>
          <w:sz w:val="24"/>
        </w:rPr>
        <w:t>registration of transfer of Warrants.</w:t>
      </w:r>
    </w:p>
    <w:p>
      <w:pPr>
        <w:pStyle w:val="TextBody"/>
        <w:bidi w:val="0"/>
        <w:spacing w:lineRule="atLeast" w:line="280" w:before="240" w:after="0"/>
        <w:ind w:left="720" w:right="0" w:hanging="0"/>
        <w:jc w:val="left"/>
        <w:rPr>
          <w:rFonts w:ascii="Times New Roman;Times;serif" w:hAnsi="Times New Roman;Times;serif"/>
          <w:sz w:val="22"/>
        </w:rPr>
      </w:pPr>
      <w:r>
        <w:rPr>
          <w:rFonts w:ascii="Times New Roman;Times;serif" w:hAnsi="Times New Roman;Times;serif"/>
          <w:sz w:val="24"/>
        </w:rPr>
        <w:t>5.5</w:t>
      </w:r>
      <w:r>
        <w:rPr>
          <w:rFonts w:ascii="Times New Roman;Times;serif" w:hAnsi="Times New Roman;Times;serif"/>
          <w:sz w:val="24"/>
          <w:u w:val="single"/>
        </w:rPr>
        <w:t>Warrant Execution and Countersignature</w:t>
      </w:r>
      <w:r>
        <w:rPr>
          <w:rFonts w:ascii="Times New Roman;Times;serif" w:hAnsi="Times New Roman;Times;serif"/>
          <w:sz w:val="24"/>
        </w:rPr>
        <w:t>. The Warrant Agent is hereby</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pStyle w:val="TextBody"/>
        <w:bidi w:val="0"/>
        <w:spacing w:lineRule="atLeast" w:line="280" w:before="0" w:after="0"/>
        <w:ind w:left="0" w:right="0" w:hanging="0"/>
        <w:jc w:val="left"/>
        <w:rPr>
          <w:rFonts w:ascii="Times New Roman;Times;serif" w:hAnsi="Times New Roman;Times;serif"/>
          <w:sz w:val="22"/>
        </w:rPr>
      </w:pPr>
      <w:r>
        <w:rPr>
          <w:rFonts w:ascii="Times New Roman;Times;serif" w:hAnsi="Times New Roman;Times;serif"/>
          <w:sz w:val="24"/>
        </w:rPr>
        <w:t>6.</w:t>
      </w:r>
      <w:r>
        <w:rPr>
          <w:rFonts w:ascii="Times New Roman;Times;serif" w:hAnsi="Times New Roman;Times;serif"/>
          <w:spacing w:val="-1"/>
          <w:sz w:val="24"/>
          <w:u w:val="single"/>
        </w:rPr>
        <w:t>[Reserved]</w:t>
      </w:r>
      <w:r>
        <w:rPr>
          <w:rFonts w:ascii="Times New Roman;Times;serif" w:hAnsi="Times New Roman;Times;serif"/>
          <w:spacing w:val="-1"/>
          <w:sz w:val="24"/>
        </w:rPr>
        <w:t>.</w:t>
      </w:r>
    </w:p>
    <w:p>
      <w:pPr>
        <w:pStyle w:val="TextBody"/>
        <w:bidi w:val="0"/>
        <w:spacing w:lineRule="atLeast" w:line="280" w:before="239" w:after="283"/>
        <w:ind w:left="0" w:right="0" w:hanging="0"/>
        <w:jc w:val="left"/>
        <w:rPr>
          <w:rFonts w:ascii="Times New Roman;Times;serif" w:hAnsi="Times New Roman;Times;serif"/>
          <w:sz w:val="22"/>
        </w:rPr>
      </w:pPr>
      <w:r>
        <w:rPr>
          <w:rFonts w:ascii="Times New Roman;Times;serif" w:hAnsi="Times New Roman;Times;serif"/>
          <w:sz w:val="24"/>
        </w:rPr>
        <w:t>7.</w:t>
      </w:r>
      <w:r>
        <w:rPr>
          <w:rFonts w:ascii="Times New Roman;Times;serif" w:hAnsi="Times New Roman;Times;serif"/>
          <w:sz w:val="24"/>
          <w:u w:val="single"/>
        </w:rPr>
        <w:t>Other Provisions Relating to Rights of Holders of Warrants</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80" w:before="233" w:after="0"/>
        <w:ind w:left="720" w:right="0" w:hanging="0"/>
        <w:jc w:val="left"/>
        <w:rPr>
          <w:rFonts w:ascii="Times New Roman;Times;serif" w:hAnsi="Times New Roman;Times;serif"/>
          <w:sz w:val="22"/>
        </w:rPr>
      </w:pPr>
      <w:r>
        <w:rPr>
          <w:rFonts w:ascii="Times New Roman;Times;serif" w:hAnsi="Times New Roman;Times;serif"/>
          <w:sz w:val="24"/>
        </w:rPr>
        <w:t>7.1</w:t>
      </w:r>
      <w:r>
        <w:rPr>
          <w:rFonts w:ascii="Times New Roman;Times;serif" w:hAnsi="Times New Roman;Times;serif"/>
          <w:sz w:val="24"/>
          <w:u w:val="single"/>
        </w:rPr>
        <w:t>No Rights as Stockholder</w:t>
      </w:r>
      <w:r>
        <w:rPr>
          <w:rFonts w:ascii="Times New Roman;Times;serif" w:hAnsi="Times New Roman;Times;serif"/>
          <w:sz w:val="24"/>
        </w:rPr>
        <w:t>. A Warrant does not entitle the registered holder</w:t>
      </w:r>
    </w:p>
    <w:p>
      <w:pPr>
        <w:pStyle w:val="TextBody"/>
        <w:bidi w:val="0"/>
        <w:spacing w:lineRule="atLeast" w:line="275" w:before="0" w:after="0"/>
        <w:ind w:left="0" w:right="0" w:hanging="0"/>
        <w:jc w:val="both"/>
        <w:rPr>
          <w:rFonts w:ascii="Times New Roman;Times;serif" w:hAnsi="Times New Roman;Times;serif"/>
          <w:sz w:val="24"/>
        </w:rPr>
      </w:pPr>
      <w:r>
        <w:rPr>
          <w:rFonts w:ascii="Times New Roman;Times;serif" w:hAnsi="Times New Roman;Times;serif"/>
          <w:sz w:val="24"/>
        </w:rPr>
        <w:t>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lineRule="atLeast" w:line="280" w:before="240" w:after="0"/>
        <w:ind w:left="720" w:right="0" w:hanging="0"/>
        <w:jc w:val="left"/>
        <w:rPr>
          <w:rFonts w:ascii="Times New Roman;Times;serif" w:hAnsi="Times New Roman;Times;serif"/>
          <w:sz w:val="22"/>
        </w:rPr>
      </w:pPr>
      <w:r>
        <w:rPr>
          <w:rFonts w:ascii="Times New Roman;Times;serif" w:hAnsi="Times New Roman;Times;serif"/>
          <w:sz w:val="24"/>
        </w:rPr>
        <w:t>7.2</w:t>
      </w:r>
      <w:r>
        <w:rPr>
          <w:rFonts w:ascii="Times New Roman;Times;serif" w:hAnsi="Times New Roman;Times;serif"/>
          <w:sz w:val="24"/>
          <w:u w:val="single"/>
        </w:rPr>
        <w:t>Lost, Stolen, Mutilated, or Destroyed Warrants</w:t>
      </w:r>
      <w:r>
        <w:rPr>
          <w:rFonts w:ascii="Times New Roman;Times;serif" w:hAnsi="Times New Roman;Times;serif"/>
          <w:sz w:val="24"/>
        </w:rPr>
        <w:t>. If any Warrant is lost, stolen,</w:t>
      </w:r>
    </w:p>
    <w:p>
      <w:pPr>
        <w:pStyle w:val="TextBody"/>
        <w:bidi w:val="0"/>
        <w:spacing w:lineRule="atLeast" w:line="274" w:before="0" w:after="0"/>
        <w:ind w:left="0" w:right="0" w:hanging="0"/>
        <w:jc w:val="both"/>
        <w:rPr>
          <w:rFonts w:ascii="Times New Roman;Times;serif" w:hAnsi="Times New Roman;Times;serif"/>
          <w:sz w:val="24"/>
        </w:rPr>
      </w:pPr>
      <w:r>
        <w:rPr>
          <w:rFonts w:ascii="Times New Roman;Times;serif" w:hAnsi="Times New Roman;Times;serif"/>
          <w:sz w:val="24"/>
        </w:rPr>
        <w:t>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w:t>
      </w:r>
    </w:p>
    <w:p>
      <w:pPr>
        <w:pStyle w:val="TextBody"/>
        <w:bidi w:val="0"/>
        <w:spacing w:lineRule="atLeast" w:line="280" w:before="94"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6" w:before="8" w:after="0"/>
        <w:ind w:left="0" w:right="0" w:hanging="0"/>
        <w:jc w:val="both"/>
        <w:rPr>
          <w:rFonts w:ascii="Times New Roman;Times;serif" w:hAnsi="Times New Roman;Times;serif"/>
          <w:sz w:val="24"/>
        </w:rPr>
      </w:pPr>
      <w:r>
        <w:rPr>
          <w:rFonts w:ascii="Times New Roman;Times;serif" w:hAnsi="Times New Roman;Times;serif"/>
          <w:sz w:val="24"/>
        </w:rPr>
        <w:t>constitute a substitute contractual obligation of the Company, whether or not the allegedly lost, stolen, mutilated or destroyed Warrant shall be at any time enforceable by anyone.</w:t>
      </w:r>
    </w:p>
    <w:p>
      <w:pPr>
        <w:pStyle w:val="TextBody"/>
        <w:bidi w:val="0"/>
        <w:spacing w:lineRule="atLeast" w:line="276" w:before="238"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7.3</w:t>
      </w:r>
      <w:r>
        <w:rPr>
          <w:rFonts w:ascii="Times New Roman;Times;serif" w:hAnsi="Times New Roman;Times;serif"/>
          <w:sz w:val="24"/>
          <w:u w:val="single"/>
        </w:rPr>
        <w:t>Reservation of Common Stock</w:t>
      </w:r>
      <w:r>
        <w:rPr>
          <w:rFonts w:ascii="Times New Roman;Times;serif" w:hAnsi="Times New Roman;Times;serif"/>
          <w:sz w:val="24"/>
        </w:rPr>
        <w:t>. The Company shall at all times reserve and keep available a number of its authorized but unissued shares of Common Stock that will be sufficient to permit the exercise in full of all outstanding Warrants issued pursuant to this Agreement.</w:t>
      </w:r>
    </w:p>
    <w:p>
      <w:pPr>
        <w:pStyle w:val="TextBody"/>
        <w:bidi w:val="0"/>
        <w:spacing w:lineRule="atLeast" w:line="276" w:before="24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7.4</w:t>
      </w:r>
      <w:r>
        <w:rPr>
          <w:rFonts w:ascii="Times New Roman;Times;serif" w:hAnsi="Times New Roman;Times;serif"/>
          <w:sz w:val="24"/>
          <w:u w:val="single"/>
        </w:rPr>
        <w:t>Registration of Common Stock</w:t>
      </w:r>
      <w:r>
        <w:rPr>
          <w:rFonts w:ascii="Times New Roman;Times;serif" w:hAnsi="Times New Roman;Times;serif"/>
          <w:sz w:val="24"/>
        </w:rPr>
        <w:t>. The Company shall use its commercially reasonable efforts to maintain the effectiveness of the Registration Statement, and the availability of a current prospectus thereunder, at all times until the expiration of the Warrants in accordance with the provisions of this Agreement. In the event that the Registration Statement ceases to be effective, or a current prospectus ceases to be available, at any time following the Initial Exercise Date of a Warrant, the registered holder of such Warrant may exercise such Warrant on a cashless basis in accordance with Section 2(c) of the Warrant. In no event will the registered holder of a Warrant be entitled to receive a "net cash settlement" in lieu of physical settlement in shares of Common Stock (or Pre-Funded Warrants, as applicable), regardless of whether the Company complies with this Section 7.4.</w:t>
      </w:r>
    </w:p>
    <w:p>
      <w:pPr>
        <w:pStyle w:val="TextBody"/>
        <w:bidi w:val="0"/>
        <w:spacing w:lineRule="atLeast" w:line="276" w:before="242"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7.5</w:t>
      </w:r>
      <w:r>
        <w:rPr>
          <w:rFonts w:ascii="Times New Roman;Times;serif" w:hAnsi="Times New Roman;Times;serif"/>
          <w:sz w:val="24"/>
          <w:u w:val="single"/>
        </w:rPr>
        <w:t>Limitation on Monetary Damages</w:t>
      </w:r>
      <w:r>
        <w:rPr>
          <w:rFonts w:ascii="Times New Roman;Times;serif" w:hAnsi="Times New Roman;Times;serif"/>
          <w:sz w:val="24"/>
        </w:rPr>
        <w:t>. In no event shall the registered holder of a Warrant be entitled to receive monetary damages for failure to settle any Warrant exercise if the Common Stock issuable upon exercise of the Warrants has not been registered with the Securities and Exchange Commission pursuant to an effective registration statement or if a current prospectus is not available for delivery by the Warrant Agent, provided the Company has fulfilled its obligations under Section 7.4 to use its commercially reasonable best efforts to effect the registration under the Act of the Common Stock issuable upon exercise of the Warrants.</w:t>
      </w:r>
    </w:p>
    <w:p>
      <w:pPr>
        <w:pStyle w:val="TextBody"/>
        <w:bidi w:val="0"/>
        <w:spacing w:lineRule="atLeast" w:line="276" w:before="244"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Concerning the Warrant Agent and Other Matters</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6" w:before="236"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2"/>
          <w:sz w:val="24"/>
        </w:rPr>
        <w:t>8.1</w:t>
      </w:r>
      <w:r>
        <w:rPr>
          <w:rFonts w:ascii="Times New Roman;Times;serif" w:hAnsi="Times New Roman;Times;serif"/>
          <w:spacing w:val="2"/>
          <w:sz w:val="24"/>
          <w:u w:val="single"/>
        </w:rPr>
        <w:t>Payment of Taxes</w:t>
      </w:r>
      <w:r>
        <w:rPr>
          <w:rFonts w:ascii="Times New Roman;Times;serif" w:hAnsi="Times New Roman;Times;serif"/>
          <w:spacing w:val="2"/>
          <w:sz w:val="24"/>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pStyle w:val="TextBody"/>
        <w:bidi w:val="0"/>
        <w:spacing w:lineRule="atLeast" w:line="276" w:before="244"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8.2</w:t>
      </w:r>
      <w:r>
        <w:rPr>
          <w:rFonts w:ascii="Times New Roman;Times;serif" w:hAnsi="Times New Roman;Times;serif"/>
          <w:sz w:val="24"/>
          <w:u w:val="single"/>
        </w:rPr>
        <w:t>Resignation, Consolidation, or Merger of Warrant Agent</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6" w:before="236" w:after="0"/>
        <w:ind w:left="0" w:right="0" w:firstLine="1440"/>
        <w:jc w:val="both"/>
        <w:rPr>
          <w:rFonts w:ascii="Times New Roman;Times;serif" w:hAnsi="Times New Roman;Times;serif"/>
          <w:sz w:val="22"/>
        </w:rPr>
      </w:pPr>
      <w:r>
        <w:rPr>
          <w:rFonts w:ascii="Times New Roman;Times;serif" w:hAnsi="Times New Roman;Times;serif"/>
          <w:sz w:val="24"/>
        </w:rPr>
        <w:t xml:space="preserve">8.2.1 </w:t>
      </w:r>
      <w:r>
        <w:rPr>
          <w:rFonts w:ascii="Times New Roman;Times;serif" w:hAnsi="Times New Roman;Times;serif"/>
          <w:sz w:val="24"/>
          <w:u w:val="single"/>
        </w:rPr>
        <w:t>Appointment of Successor Warrant Agent</w:t>
      </w:r>
      <w:r>
        <w:rPr>
          <w:rFonts w:ascii="Times New Roman;Times;serif" w:hAnsi="Times New Roman;Times;serif"/>
          <w:sz w:val="24"/>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the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w:t>
      </w:r>
    </w:p>
    <w:p>
      <w:pPr>
        <w:pStyle w:val="TextBody"/>
        <w:bidi w:val="0"/>
        <w:spacing w:lineRule="atLeast" w:line="276" w:before="30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6" w:before="11" w:after="0"/>
        <w:ind w:left="0" w:right="0" w:hanging="0"/>
        <w:jc w:val="both"/>
        <w:rPr>
          <w:rFonts w:ascii="Times New Roman;Times;serif" w:hAnsi="Times New Roman;Times;serif"/>
          <w:sz w:val="24"/>
        </w:rPr>
      </w:pPr>
      <w:r>
        <w:rPr>
          <w:rFonts w:ascii="Times New Roman;Times;serif" w:hAnsi="Times New Roman;Times;serif"/>
          <w:sz w:val="24"/>
        </w:rPr>
        <w:t>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pStyle w:val="TextBody"/>
        <w:bidi w:val="0"/>
        <w:spacing w:lineRule="atLeast" w:line="276" w:before="240" w:after="0"/>
        <w:ind w:left="0" w:right="0" w:firstLine="1440"/>
        <w:jc w:val="both"/>
        <w:rPr>
          <w:rFonts w:ascii="Times New Roman;Times;serif" w:hAnsi="Times New Roman;Times;serif"/>
          <w:sz w:val="22"/>
        </w:rPr>
      </w:pPr>
      <w:r>
        <w:rPr>
          <w:rFonts w:ascii="Times New Roman;Times;serif" w:hAnsi="Times New Roman;Times;serif"/>
          <w:spacing w:val="1"/>
          <w:sz w:val="24"/>
        </w:rPr>
        <w:t xml:space="preserve">8.2.2 </w:t>
      </w:r>
      <w:r>
        <w:rPr>
          <w:rFonts w:ascii="Times New Roman;Times;serif" w:hAnsi="Times New Roman;Times;serif"/>
          <w:spacing w:val="1"/>
          <w:sz w:val="24"/>
          <w:u w:val="single"/>
        </w:rPr>
        <w:t>Notice of Successor Warrant Agent</w:t>
      </w:r>
      <w:r>
        <w:rPr>
          <w:rFonts w:ascii="Times New Roman;Times;serif" w:hAnsi="Times New Roman;Times;serif"/>
          <w:spacing w:val="1"/>
          <w:sz w:val="24"/>
        </w:rPr>
        <w:t>. In the event a successor Warrant Agent shall be appointed, the Company shall give notice thereof to the predecessor Warrant Agent and the transfer agent for the Common Stock not later than the effective date of any such appointment.</w:t>
      </w:r>
    </w:p>
    <w:p>
      <w:pPr>
        <w:pStyle w:val="TextBody"/>
        <w:bidi w:val="0"/>
        <w:spacing w:lineRule="atLeast" w:line="276" w:before="240" w:after="0"/>
        <w:ind w:left="0" w:right="0" w:firstLine="1440"/>
        <w:jc w:val="both"/>
        <w:rPr>
          <w:rFonts w:ascii="Times New Roman;Times;serif" w:hAnsi="Times New Roman;Times;serif"/>
          <w:sz w:val="22"/>
        </w:rPr>
      </w:pPr>
      <w:r>
        <w:rPr>
          <w:rFonts w:ascii="Times New Roman;Times;serif" w:hAnsi="Times New Roman;Times;serif"/>
          <w:sz w:val="24"/>
        </w:rPr>
        <w:t xml:space="preserve">8.2.3 </w:t>
      </w:r>
      <w:r>
        <w:rPr>
          <w:rFonts w:ascii="Times New Roman;Times;serif" w:hAnsi="Times New Roman;Times;serif"/>
          <w:sz w:val="24"/>
          <w:u w:val="single"/>
        </w:rPr>
        <w:t>Merger or Consolidation of Warrant Agent</w:t>
      </w:r>
      <w:r>
        <w:rPr>
          <w:rFonts w:ascii="Times New Roman;Times;serif" w:hAnsi="Times New Roman;Times;serif"/>
          <w:sz w:val="24"/>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pStyle w:val="TextBody"/>
        <w:bidi w:val="0"/>
        <w:spacing w:lineRule="atLeast" w:line="276" w:before="238" w:after="0"/>
        <w:ind w:left="720" w:right="0" w:hanging="0"/>
        <w:jc w:val="left"/>
        <w:rPr>
          <w:rFonts w:ascii="Times New Roman;Times;serif" w:hAnsi="Times New Roman;Times;serif"/>
          <w:sz w:val="22"/>
        </w:rPr>
      </w:pPr>
      <w:r>
        <w:rPr>
          <w:rFonts w:ascii="Times New Roman;Times;serif" w:hAnsi="Times New Roman;Times;serif"/>
          <w:sz w:val="24"/>
        </w:rPr>
        <w:t>8.3</w:t>
      </w:r>
      <w:r>
        <w:rPr>
          <w:rFonts w:ascii="Times New Roman;Times;serif" w:hAnsi="Times New Roman;Times;serif"/>
          <w:sz w:val="24"/>
          <w:u w:val="single"/>
        </w:rPr>
        <w:t>Fees and Expenses of Warrant Agent</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6" w:before="239" w:after="0"/>
        <w:ind w:left="0" w:right="0" w:firstLine="1440"/>
        <w:jc w:val="both"/>
        <w:rPr>
          <w:rFonts w:ascii="Times New Roman;Times;serif" w:hAnsi="Times New Roman;Times;serif"/>
          <w:sz w:val="22"/>
        </w:rPr>
      </w:pPr>
      <w:r>
        <w:rPr>
          <w:rFonts w:ascii="Times New Roman;Times;serif" w:hAnsi="Times New Roman;Times;serif"/>
          <w:sz w:val="24"/>
        </w:rPr>
        <w:t xml:space="preserve">8.3.1 </w:t>
      </w:r>
      <w:r>
        <w:rPr>
          <w:rFonts w:ascii="Times New Roman;Times;serif" w:hAnsi="Times New Roman;Times;serif"/>
          <w:sz w:val="24"/>
          <w:u w:val="single"/>
        </w:rPr>
        <w:t>Remuneration</w:t>
      </w:r>
      <w:r>
        <w:rPr>
          <w:rFonts w:ascii="Times New Roman;Times;serif" w:hAnsi="Times New Roman;Times;serif"/>
          <w:sz w:val="24"/>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pStyle w:val="TextBody"/>
        <w:bidi w:val="0"/>
        <w:spacing w:lineRule="atLeast" w:line="276" w:before="240" w:after="0"/>
        <w:ind w:left="0" w:right="0" w:firstLine="1440"/>
        <w:jc w:val="both"/>
        <w:rPr>
          <w:rFonts w:ascii="Times New Roman;Times;serif" w:hAnsi="Times New Roman;Times;serif"/>
          <w:sz w:val="22"/>
        </w:rPr>
      </w:pPr>
      <w:r>
        <w:rPr>
          <w:rFonts w:ascii="Times New Roman;Times;serif" w:hAnsi="Times New Roman;Times;serif"/>
          <w:sz w:val="24"/>
        </w:rPr>
        <w:t xml:space="preserve">8.3.2 </w:t>
      </w:r>
      <w:r>
        <w:rPr>
          <w:rFonts w:ascii="Times New Roman;Times;serif" w:hAnsi="Times New Roman;Times;serif"/>
          <w:sz w:val="24"/>
          <w:u w:val="single"/>
        </w:rPr>
        <w:t>Further Assurances</w:t>
      </w:r>
      <w:r>
        <w:rPr>
          <w:rFonts w:ascii="Times New Roman;Times;serif" w:hAnsi="Times New Roman;Times;serif"/>
          <w:sz w:val="24"/>
        </w:rPr>
        <w:t>.The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pStyle w:val="TextBody"/>
        <w:bidi w:val="0"/>
        <w:spacing w:lineRule="atLeast" w:line="276" w:before="244" w:after="0"/>
        <w:ind w:left="720" w:right="0" w:hanging="0"/>
        <w:jc w:val="left"/>
        <w:rPr>
          <w:rFonts w:ascii="Times New Roman;Times;serif" w:hAnsi="Times New Roman;Times;serif"/>
          <w:sz w:val="22"/>
        </w:rPr>
      </w:pPr>
      <w:r>
        <w:rPr>
          <w:rFonts w:ascii="Times New Roman;Times;serif" w:hAnsi="Times New Roman;Times;serif"/>
          <w:sz w:val="24"/>
        </w:rPr>
        <w:t>8.4</w:t>
      </w:r>
      <w:r>
        <w:rPr>
          <w:rFonts w:ascii="Times New Roman;Times;serif" w:hAnsi="Times New Roman;Times;serif"/>
          <w:sz w:val="24"/>
          <w:u w:val="single"/>
        </w:rPr>
        <w:t>Liability of Warrant Agent</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6" w:before="234" w:after="567"/>
        <w:ind w:left="0" w:right="0" w:firstLine="1440"/>
        <w:jc w:val="both"/>
        <w:rPr>
          <w:rFonts w:ascii="Times New Roman;Times;serif" w:hAnsi="Times New Roman;Times;serif"/>
          <w:sz w:val="22"/>
        </w:rPr>
      </w:pPr>
      <w:r>
        <w:rPr>
          <w:rFonts w:ascii="Times New Roman;Times;serif" w:hAnsi="Times New Roman;Times;serif"/>
          <w:sz w:val="24"/>
        </w:rPr>
        <w:t xml:space="preserve">8.4.1 </w:t>
      </w:r>
      <w:r>
        <w:rPr>
          <w:rFonts w:ascii="Times New Roman;Times;serif" w:hAnsi="Times New Roman;Times;serif"/>
          <w:sz w:val="24"/>
          <w:u w:val="single"/>
        </w:rPr>
        <w:t>Reliance on Company Statement</w:t>
      </w:r>
      <w:r>
        <w:rPr>
          <w:rFonts w:ascii="Times New Roman;Times;serif" w:hAnsi="Times New Roman;Times;serif"/>
          <w:sz w:val="24"/>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or Chairman of the Board of the Company and delivered to the Warrant Agent. The Warrant Agent may rely upon such statement for any action taken or suffered in good faith by it pursuant to the provisions of this Agreement.</w:t>
      </w:r>
    </w:p>
    <w:p>
      <w:pPr>
        <w:pStyle w:val="TextBody"/>
        <w:bidi w:val="0"/>
        <w:spacing w:before="0" w:after="567"/>
        <w:ind w:left="0" w:right="0" w:hanging="0"/>
        <w:jc w:val="left"/>
        <w:rPr/>
      </w:pPr>
      <w:r>
        <w:rPr/>
        <w:t>​</w:t>
      </w:r>
    </w:p>
    <w:p>
      <w:pPr>
        <w:pStyle w:val="TextBody"/>
        <w:bidi w:val="0"/>
        <w:spacing w:lineRule="atLeast" w:line="27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7" w:before="2" w:after="0"/>
        <w:ind w:left="0" w:right="0" w:firstLine="1440"/>
        <w:jc w:val="both"/>
        <w:rPr>
          <w:rFonts w:ascii="Times New Roman;Times;serif" w:hAnsi="Times New Roman;Times;serif"/>
          <w:sz w:val="22"/>
        </w:rPr>
      </w:pPr>
      <w:r>
        <w:rPr>
          <w:rFonts w:ascii="Times New Roman;Times;serif" w:hAnsi="Times New Roman;Times;serif"/>
          <w:sz w:val="24"/>
        </w:rPr>
        <w:t xml:space="preserve">8.4.2 </w:t>
      </w:r>
      <w:r>
        <w:rPr>
          <w:rFonts w:ascii="Times New Roman;Times;serif" w:hAnsi="Times New Roman;Times;serif"/>
          <w:sz w:val="24"/>
          <w:u w:val="single"/>
        </w:rPr>
        <w:t>Indemnity</w:t>
      </w:r>
      <w:r>
        <w:rPr>
          <w:rFonts w:ascii="Times New Roman;Times;serif" w:hAnsi="Times New Roman;Times;serif"/>
          <w:sz w:val="24"/>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pStyle w:val="TextBody"/>
        <w:bidi w:val="0"/>
        <w:spacing w:lineRule="atLeast" w:line="277" w:before="232" w:after="0"/>
        <w:ind w:left="0" w:right="0" w:firstLine="1440"/>
        <w:jc w:val="both"/>
        <w:rPr>
          <w:rFonts w:ascii="Times New Roman;Times;serif" w:hAnsi="Times New Roman;Times;serif"/>
          <w:sz w:val="22"/>
        </w:rPr>
      </w:pPr>
      <w:r>
        <w:rPr>
          <w:rFonts w:ascii="Times New Roman;Times;serif" w:hAnsi="Times New Roman;Times;serif"/>
          <w:spacing w:val="3"/>
          <w:sz w:val="24"/>
        </w:rPr>
        <w:t xml:space="preserve">8.4.3 </w:t>
      </w:r>
      <w:r>
        <w:rPr>
          <w:rFonts w:ascii="Times New Roman;Times;serif" w:hAnsi="Times New Roman;Times;serif"/>
          <w:spacing w:val="3"/>
          <w:sz w:val="24"/>
          <w:u w:val="single"/>
        </w:rPr>
        <w:t>Exclusions</w:t>
      </w:r>
      <w:r>
        <w:rPr>
          <w:rFonts w:ascii="Times New Roman;Times;serif" w:hAnsi="Times New Roman;Times;serif"/>
          <w:spacing w:val="3"/>
          <w:sz w:val="24"/>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pStyle w:val="TextBody"/>
        <w:bidi w:val="0"/>
        <w:spacing w:lineRule="atLeast" w:line="277" w:before="234"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3"/>
          <w:sz w:val="24"/>
        </w:rPr>
        <w:t>8.5</w:t>
      </w:r>
      <w:r>
        <w:rPr>
          <w:rFonts w:ascii="Times New Roman;Times;serif" w:hAnsi="Times New Roman;Times;serif"/>
          <w:spacing w:val="3"/>
          <w:sz w:val="24"/>
          <w:u w:val="single"/>
        </w:rPr>
        <w:t>Acceptance of Agency</w:t>
      </w:r>
      <w:r>
        <w:rPr>
          <w:rFonts w:ascii="Times New Roman;Times;serif" w:hAnsi="Times New Roman;Times;serif"/>
          <w:spacing w:val="3"/>
          <w:sz w:val="24"/>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Common Stock through the exercise of Warrants.</w:t>
      </w:r>
    </w:p>
    <w:p>
      <w:pPr>
        <w:pStyle w:val="TextBody"/>
        <w:bidi w:val="0"/>
        <w:spacing w:lineRule="atLeast" w:line="277" w:before="237"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Miscellaneous Provisions</w:t>
      </w:r>
      <w:r>
        <w:rPr>
          <w:rFonts w:ascii="Times New Roman;Times;serif" w:hAnsi="Times New Roman;Times;serif"/>
          <w:sz w:val="24"/>
        </w:rPr>
        <w:t>.</w:t>
      </w:r>
      <w:r>
        <w:rPr>
          <w:rFonts w:ascii="Times New Roman;Times;serif" w:hAnsi="Times New Roman;Times;serif"/>
          <w:sz w:val="22"/>
          <w:u w:val="single"/>
        </w:rPr>
        <w:t xml:space="preserve"> </w:t>
      </w:r>
    </w:p>
    <w:p>
      <w:pPr>
        <w:pStyle w:val="TextBody"/>
        <w:bidi w:val="0"/>
        <w:spacing w:lineRule="atLeast" w:line="277" w:before="239"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Successors</w:t>
      </w:r>
      <w:r>
        <w:rPr>
          <w:rFonts w:ascii="Times New Roman;Times;serif" w:hAnsi="Times New Roman;Times;serif"/>
          <w:sz w:val="24"/>
        </w:rPr>
        <w:t>. All the covenants and provisions of this Agreement by or for the benefit of the Company or the Warrant Agent shall bind and inure to the benefit of their respective successors and assigns.</w:t>
      </w:r>
    </w:p>
    <w:p>
      <w:pPr>
        <w:pStyle w:val="TextBody"/>
        <w:bidi w:val="0"/>
        <w:spacing w:lineRule="atLeast" w:line="277" w:before="232"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pacing w:val="2"/>
          <w:sz w:val="24"/>
        </w:rPr>
        <w:t>9.2</w:t>
      </w:r>
      <w:r>
        <w:rPr>
          <w:rFonts w:ascii="Times New Roman;Times;serif" w:hAnsi="Times New Roman;Times;serif"/>
          <w:spacing w:val="2"/>
          <w:sz w:val="24"/>
          <w:u w:val="single"/>
        </w:rPr>
        <w:t>Notices</w:t>
      </w:r>
      <w:r>
        <w:rPr>
          <w:rFonts w:ascii="Times New Roman;Times;serif" w:hAnsi="Times New Roman;Times;serif"/>
          <w:spacing w:val="2"/>
          <w:sz w:val="24"/>
        </w:rPr>
        <w:t>. Any notice, statement or demand authorized by this Agreement to be given or made by the Warrant Agent or by the holder of any Warrant to or on the Company shall be delivered by hand or sent by registered or certified mail or overnight courier service, addressed (until another address is filed in writing by the Company with the Warrant Agent) as follows:</w:t>
      </w:r>
    </w:p>
    <w:p>
      <w:pPr>
        <w:pStyle w:val="TextBody"/>
        <w:bidi w:val="0"/>
        <w:spacing w:lineRule="atLeast" w:line="277" w:before="238" w:after="0"/>
        <w:ind w:left="720" w:right="0" w:hanging="0"/>
        <w:jc w:val="left"/>
        <w:rPr>
          <w:rFonts w:ascii="Times New Roman;Times;serif" w:hAnsi="Times New Roman;Times;serif"/>
          <w:sz w:val="24"/>
        </w:rPr>
      </w:pPr>
      <w:r>
        <w:rPr>
          <w:rFonts w:ascii="Times New Roman;Times;serif" w:hAnsi="Times New Roman;Times;serif"/>
          <w:sz w:val="24"/>
        </w:rPr>
        <w:t xml:space="preserve">AEON Biopharma, Inc. </w:t>
        <w:br/>
        <w:t xml:space="preserve">5 Park Plaza, Suite 1750 </w:t>
        <w:br/>
        <w:t xml:space="preserve">Irvine, California 92614 </w:t>
        <w:br/>
        <w:t xml:space="preserve">Attention: John Bencich </w:t>
        <w:br/>
        <w:t xml:space="preserve">Email: [***] </w:t>
      </w:r>
    </w:p>
    <w:p>
      <w:pPr>
        <w:pStyle w:val="TextBody"/>
        <w:bidi w:val="0"/>
        <w:spacing w:lineRule="atLeast" w:line="277" w:before="271" w:after="529"/>
        <w:ind w:left="0" w:right="0" w:hanging="0"/>
        <w:jc w:val="both"/>
        <w:rPr>
          <w:rFonts w:ascii="Times New Roman;Times;serif" w:hAnsi="Times New Roman;Times;serif"/>
          <w:sz w:val="24"/>
        </w:rPr>
      </w:pPr>
      <w:r>
        <w:rPr>
          <w:rFonts w:ascii="Times New Roman;Times;serif" w:hAnsi="Times New Roman;Times;serif"/>
          <w:sz w:val="24"/>
        </w:rPr>
        <w:t>Any notice, statement or demand authorized by this Agreement to be given or made by the holder of any Warrant or by the Company to or on the Warrant Agent shall be delivered by hand</w:t>
      </w:r>
    </w:p>
    <w:p>
      <w:pPr>
        <w:pStyle w:val="TextBody"/>
        <w:bidi w:val="0"/>
        <w:spacing w:before="0" w:after="529"/>
        <w:ind w:left="0" w:right="0" w:hanging="0"/>
        <w:jc w:val="left"/>
        <w:rPr/>
      </w:pPr>
      <w:r>
        <w:rPr/>
        <w:t>​</w:t>
      </w:r>
    </w:p>
    <w:p>
      <w:pPr>
        <w:pStyle w:val="TextBody"/>
        <w:bidi w:val="0"/>
        <w:spacing w:lineRule="atLeast" w:line="27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3" w:before="14" w:after="0"/>
        <w:ind w:left="0" w:right="0" w:hanging="0"/>
        <w:jc w:val="both"/>
        <w:rPr>
          <w:rFonts w:ascii="Times New Roman;Times;serif" w:hAnsi="Times New Roman;Times;serif"/>
          <w:sz w:val="24"/>
        </w:rPr>
      </w:pPr>
      <w:r>
        <w:rPr>
          <w:rFonts w:ascii="Times New Roman;Times;serif" w:hAnsi="Times New Roman;Times;serif"/>
          <w:sz w:val="24"/>
        </w:rPr>
        <w:t>or sent by registered or certified mail or overnight courier service, addressed (until another address is filed in writing by the Company with the Warrant Agent) as follows:</w:t>
      </w:r>
    </w:p>
    <w:p>
      <w:pPr>
        <w:pStyle w:val="TextBody"/>
        <w:bidi w:val="0"/>
        <w:spacing w:lineRule="atLeast" w:line="272" w:before="247" w:after="0"/>
        <w:ind w:left="1440" w:right="0" w:hanging="0"/>
        <w:jc w:val="left"/>
        <w:rPr>
          <w:rFonts w:ascii="Times New Roman;Times;serif" w:hAnsi="Times New Roman;Times;serif"/>
          <w:sz w:val="24"/>
        </w:rPr>
      </w:pPr>
      <w:r>
        <w:rPr>
          <w:rFonts w:ascii="Times New Roman;Times;serif" w:hAnsi="Times New Roman;Times;serif"/>
          <w:sz w:val="24"/>
        </w:rPr>
        <w:t>Continental Stock Transfer &amp; Trust Company</w:t>
      </w:r>
    </w:p>
    <w:p>
      <w:pPr>
        <w:pStyle w:val="TextBody"/>
        <w:bidi w:val="0"/>
        <w:spacing w:lineRule="atLeast" w:line="272" w:before="1" w:after="0"/>
        <w:ind w:left="1440" w:right="0" w:hanging="0"/>
        <w:jc w:val="left"/>
        <w:rPr>
          <w:rFonts w:ascii="Times New Roman;Times;serif" w:hAnsi="Times New Roman;Times;serif"/>
          <w:spacing w:val="-1"/>
          <w:sz w:val="24"/>
        </w:rPr>
      </w:pPr>
      <w:r>
        <w:rPr>
          <w:rFonts w:ascii="Times New Roman;Times;serif" w:hAnsi="Times New Roman;Times;serif"/>
          <w:spacing w:val="-1"/>
          <w:sz w:val="24"/>
        </w:rPr>
        <w:t>1 State Street, 30 FL</w:t>
      </w:r>
    </w:p>
    <w:p>
      <w:pPr>
        <w:pStyle w:val="TextBody"/>
        <w:bidi w:val="0"/>
        <w:spacing w:lineRule="atLeast" w:line="272" w:before="2" w:after="0"/>
        <w:ind w:left="1440" w:right="0" w:hanging="0"/>
        <w:jc w:val="left"/>
        <w:rPr>
          <w:rFonts w:ascii="Times New Roman;Times;serif" w:hAnsi="Times New Roman;Times;serif"/>
          <w:sz w:val="24"/>
        </w:rPr>
      </w:pPr>
      <w:r>
        <w:rPr>
          <w:rFonts w:ascii="Times New Roman;Times;serif" w:hAnsi="Times New Roman;Times;serif"/>
          <w:sz w:val="24"/>
        </w:rPr>
        <w:t>New York, New York 10004</w:t>
      </w:r>
    </w:p>
    <w:p>
      <w:pPr>
        <w:pStyle w:val="TextBody"/>
        <w:bidi w:val="0"/>
        <w:spacing w:lineRule="atLeast" w:line="272" w:before="6" w:after="0"/>
        <w:ind w:left="1440" w:right="0" w:hanging="0"/>
        <w:jc w:val="left"/>
        <w:rPr>
          <w:rFonts w:ascii="Times New Roman;Times;serif" w:hAnsi="Times New Roman;Times;serif"/>
          <w:spacing w:val="6"/>
          <w:sz w:val="24"/>
        </w:rPr>
      </w:pPr>
      <w:r>
        <w:rPr>
          <w:rFonts w:ascii="Times New Roman;Times;serif" w:hAnsi="Times New Roman;Times;serif"/>
          <w:spacing w:val="6"/>
          <w:sz w:val="24"/>
        </w:rPr>
        <w:t>Attn: Compliance Department</w:t>
      </w:r>
    </w:p>
    <w:p>
      <w:pPr>
        <w:pStyle w:val="TextBody"/>
        <w:bidi w:val="0"/>
        <w:spacing w:lineRule="atLeast" w:line="272" w:before="247" w:after="0"/>
        <w:ind w:left="0" w:right="0" w:hanging="0"/>
        <w:jc w:val="left"/>
        <w:rPr>
          <w:rFonts w:ascii="Times New Roman;Times;serif" w:hAnsi="Times New Roman;Times;serif"/>
          <w:sz w:val="24"/>
        </w:rPr>
      </w:pPr>
      <w:r>
        <w:rPr>
          <w:rFonts w:ascii="Times New Roman;Times;serif" w:hAnsi="Times New Roman;Times;serif"/>
          <w:sz w:val="24"/>
        </w:rPr>
        <w:t>with a copy in each case to:</w:t>
      </w:r>
    </w:p>
    <w:p>
      <w:pPr>
        <w:pStyle w:val="TextBody"/>
        <w:bidi w:val="0"/>
        <w:spacing w:lineRule="atLeast" w:line="272" w:before="241" w:after="0"/>
        <w:ind w:left="720" w:right="0" w:hanging="0"/>
        <w:jc w:val="left"/>
        <w:rPr>
          <w:rFonts w:ascii="Times New Roman;Times;serif" w:hAnsi="Times New Roman;Times;serif"/>
          <w:sz w:val="24"/>
        </w:rPr>
      </w:pPr>
      <w:r>
        <w:rPr>
          <w:rFonts w:ascii="Times New Roman;Times;serif" w:hAnsi="Times New Roman;Times;serif"/>
          <w:sz w:val="24"/>
        </w:rPr>
        <w:t>Sullivan &amp; Worcester LLP</w:t>
      </w:r>
    </w:p>
    <w:p>
      <w:pPr>
        <w:pStyle w:val="TextBody"/>
        <w:bidi w:val="0"/>
        <w:spacing w:lineRule="atLeast" w:line="272" w:before="7" w:after="0"/>
        <w:ind w:left="720" w:right="0" w:hanging="0"/>
        <w:jc w:val="left"/>
        <w:rPr>
          <w:rFonts w:ascii="Times New Roman;Times;serif" w:hAnsi="Times New Roman;Times;serif"/>
          <w:sz w:val="24"/>
        </w:rPr>
      </w:pPr>
      <w:r>
        <w:rPr>
          <w:rFonts w:ascii="Times New Roman;Times;serif" w:hAnsi="Times New Roman;Times;serif"/>
          <w:sz w:val="24"/>
        </w:rPr>
        <w:t>1251 Avenue of the Americas, 19th Floor</w:t>
      </w:r>
    </w:p>
    <w:p>
      <w:pPr>
        <w:pStyle w:val="TextBody"/>
        <w:bidi w:val="0"/>
        <w:spacing w:lineRule="atLeast" w:line="272" w:before="1" w:after="0"/>
        <w:ind w:left="720" w:right="0" w:hanging="0"/>
        <w:jc w:val="left"/>
        <w:rPr>
          <w:rFonts w:ascii="Times New Roman;Times;serif" w:hAnsi="Times New Roman;Times;serif"/>
          <w:sz w:val="24"/>
        </w:rPr>
      </w:pPr>
      <w:r>
        <w:rPr>
          <w:rFonts w:ascii="Times New Roman;Times;serif" w:hAnsi="Times New Roman;Times;serif"/>
          <w:sz w:val="24"/>
        </w:rPr>
        <w:t>New York, New York 10020</w:t>
      </w:r>
    </w:p>
    <w:p>
      <w:pPr>
        <w:pStyle w:val="TextBody"/>
        <w:bidi w:val="0"/>
        <w:spacing w:lineRule="atLeast" w:line="272" w:before="7" w:after="0"/>
        <w:ind w:left="720" w:right="0" w:hanging="0"/>
        <w:jc w:val="left"/>
        <w:rPr>
          <w:rFonts w:ascii="Times New Roman;Times;serif" w:hAnsi="Times New Roman;Times;serif"/>
          <w:sz w:val="24"/>
        </w:rPr>
      </w:pPr>
      <w:r>
        <w:rPr>
          <w:rFonts w:ascii="Times New Roman;Times;serif" w:hAnsi="Times New Roman;Times;serif"/>
          <w:sz w:val="24"/>
        </w:rPr>
        <w:t>Attention: David E. Danovitch</w:t>
      </w:r>
    </w:p>
    <w:p>
      <w:pPr>
        <w:pStyle w:val="TextBody"/>
        <w:bidi w:val="0"/>
        <w:spacing w:lineRule="atLeast" w:line="272" w:before="7" w:after="0"/>
        <w:ind w:left="720" w:right="0" w:hanging="0"/>
        <w:jc w:val="left"/>
        <w:rPr>
          <w:rFonts w:ascii="Times New Roman;Times;serif" w:hAnsi="Times New Roman;Times;serif"/>
          <w:sz w:val="24"/>
        </w:rPr>
      </w:pPr>
      <w:r>
        <w:rPr>
          <w:rFonts w:ascii="Times New Roman;Times;serif" w:hAnsi="Times New Roman;Times;serif"/>
          <w:sz w:val="24"/>
        </w:rPr>
        <w:t>Email: [***]</w:t>
      </w:r>
    </w:p>
    <w:p>
      <w:pPr>
        <w:pStyle w:val="TextBody"/>
        <w:bidi w:val="0"/>
        <w:spacing w:lineRule="atLeast" w:line="275" w:before="244" w:after="0"/>
        <w:ind w:left="0" w:right="0" w:hanging="0"/>
        <w:jc w:val="both"/>
        <w:rPr>
          <w:rFonts w:ascii="Times New Roman;Times;serif" w:hAnsi="Times New Roman;Times;serif"/>
          <w:sz w:val="24"/>
        </w:rPr>
      </w:pPr>
      <w:r>
        <w:rPr>
          <w:rFonts w:ascii="Times New Roman;Times;serif" w:hAnsi="Times New Roman;Times;serif"/>
          <w:sz w:val="24"/>
        </w:rPr>
        <w:t>Any notice, sent pursuant to this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pStyle w:val="TextBody"/>
        <w:bidi w:val="0"/>
        <w:spacing w:lineRule="atLeast" w:line="273" w:before="247" w:after="0"/>
        <w:ind w:left="720" w:right="0" w:hanging="0"/>
        <w:jc w:val="left"/>
        <w:rPr>
          <w:rFonts w:ascii="Times New Roman;Times;serif" w:hAnsi="Times New Roman;Times;serif"/>
          <w:sz w:val="22"/>
        </w:rPr>
      </w:pPr>
      <w:r>
        <w:rPr>
          <w:rFonts w:ascii="Times New Roman;Times;serif" w:hAnsi="Times New Roman;Times;serif"/>
          <w:sz w:val="24"/>
        </w:rPr>
        <w:t>9.3</w:t>
      </w:r>
      <w:r>
        <w:rPr>
          <w:rFonts w:ascii="Times New Roman;Times;serif" w:hAnsi="Times New Roman;Times;serif"/>
          <w:sz w:val="24"/>
          <w:u w:val="single"/>
        </w:rPr>
        <w:t>Applicable Law</w:t>
      </w:r>
      <w:r>
        <w:rPr>
          <w:rFonts w:ascii="Times New Roman;Times;serif" w:hAnsi="Times New Roman;Times;serif"/>
          <w:sz w:val="24"/>
        </w:rPr>
        <w:t>. The validity, interpretation and performance of this Agreement</w:t>
      </w:r>
    </w:p>
    <w:p>
      <w:pPr>
        <w:pStyle w:val="TextBody"/>
        <w:bidi w:val="0"/>
        <w:spacing w:lineRule="atLeast" w:line="275" w:before="6" w:after="0"/>
        <w:ind w:left="0" w:right="0" w:hanging="0"/>
        <w:jc w:val="both"/>
        <w:rPr>
          <w:rFonts w:ascii="Times New Roman;Times;serif" w:hAnsi="Times New Roman;Times;serif"/>
          <w:sz w:val="24"/>
        </w:rPr>
      </w:pPr>
      <w:r>
        <w:rPr>
          <w:rFonts w:ascii="Times New Roman;Times;serif" w:hAnsi="Times New Roman;Times;serif"/>
          <w:sz w:val="24"/>
        </w:rPr>
        <w:t>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pStyle w:val="TextBody"/>
        <w:bidi w:val="0"/>
        <w:spacing w:lineRule="atLeast" w:line="273" w:before="246" w:after="0"/>
        <w:ind w:left="720" w:right="0" w:hanging="0"/>
        <w:jc w:val="left"/>
        <w:rPr>
          <w:rFonts w:ascii="Times New Roman;Times;serif" w:hAnsi="Times New Roman;Times;serif"/>
          <w:sz w:val="22"/>
        </w:rPr>
      </w:pPr>
      <w:r>
        <w:rPr>
          <w:rFonts w:ascii="Times New Roman;Times;serif" w:hAnsi="Times New Roman;Times;serif"/>
          <w:sz w:val="24"/>
        </w:rPr>
        <w:t>9.4</w:t>
      </w:r>
      <w:r>
        <w:rPr>
          <w:rFonts w:ascii="Times New Roman;Times;serif" w:hAnsi="Times New Roman;Times;serif"/>
          <w:sz w:val="24"/>
          <w:u w:val="single"/>
        </w:rPr>
        <w:t>Persons Having Rights under this Agreement</w:t>
      </w:r>
      <w:r>
        <w:rPr>
          <w:rFonts w:ascii="Times New Roman;Times;serif" w:hAnsi="Times New Roman;Times;serif"/>
          <w:sz w:val="24"/>
        </w:rPr>
        <w:t>. Nothing in this Agreement</w:t>
      </w:r>
    </w:p>
    <w:p>
      <w:pPr>
        <w:pStyle w:val="TextBody"/>
        <w:bidi w:val="0"/>
        <w:spacing w:lineRule="atLeast" w:line="276" w:before="2" w:after="0"/>
        <w:ind w:left="0" w:right="0" w:hanging="0"/>
        <w:jc w:val="both"/>
        <w:rPr>
          <w:rFonts w:ascii="Times New Roman;Times;serif" w:hAnsi="Times New Roman;Times;serif"/>
          <w:sz w:val="24"/>
        </w:rPr>
      </w:pPr>
      <w:r>
        <w:rPr>
          <w:rFonts w:ascii="Times New Roman;Times;serif" w:hAnsi="Times New Roman;Times;serif"/>
          <w:sz w:val="24"/>
        </w:rPr>
        <w:t>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pStyle w:val="TextBody"/>
        <w:bidi w:val="0"/>
        <w:spacing w:lineRule="atLeast" w:line="273" w:before="241" w:after="0"/>
        <w:ind w:left="720" w:right="0" w:hanging="0"/>
        <w:jc w:val="left"/>
        <w:rPr>
          <w:rFonts w:ascii="Times New Roman;Times;serif" w:hAnsi="Times New Roman;Times;serif"/>
          <w:sz w:val="22"/>
        </w:rPr>
      </w:pPr>
      <w:r>
        <w:rPr>
          <w:rFonts w:ascii="Times New Roman;Times;serif" w:hAnsi="Times New Roman;Times;serif"/>
          <w:sz w:val="24"/>
        </w:rPr>
        <w:t>9.5</w:t>
      </w:r>
      <w:r>
        <w:rPr>
          <w:rFonts w:ascii="Times New Roman;Times;serif" w:hAnsi="Times New Roman;Times;serif"/>
          <w:sz w:val="24"/>
          <w:u w:val="single"/>
        </w:rPr>
        <w:t>Examination of the Agreement</w:t>
      </w:r>
      <w:r>
        <w:rPr>
          <w:rFonts w:ascii="Times New Roman;Times;serif" w:hAnsi="Times New Roman;Times;serif"/>
          <w:sz w:val="24"/>
        </w:rPr>
        <w:t>. A copy of this Agreement shall be available at all</w:t>
      </w:r>
    </w:p>
    <w:p>
      <w:pPr>
        <w:pStyle w:val="TextBody"/>
        <w:bidi w:val="0"/>
        <w:spacing w:lineRule="atLeast" w:line="272" w:before="1" w:after="567"/>
        <w:ind w:left="0" w:right="0" w:hanging="0"/>
        <w:jc w:val="left"/>
        <w:rPr>
          <w:rFonts w:ascii="Times New Roman;Times;serif" w:hAnsi="Times New Roman;Times;serif"/>
          <w:sz w:val="24"/>
        </w:rPr>
      </w:pPr>
      <w:r>
        <w:rPr>
          <w:rFonts w:ascii="Times New Roman;Times;serif" w:hAnsi="Times New Roman;Times;serif"/>
          <w:sz w:val="24"/>
        </w:rPr>
        <w:t>reasonable times at the office of the Warrant Agent in the Borough of Manhattan, City and State</w:t>
      </w:r>
    </w:p>
    <w:p>
      <w:pPr>
        <w:pStyle w:val="TextBody"/>
        <w:bidi w:val="0"/>
        <w:spacing w:before="0" w:after="567"/>
        <w:ind w:left="0" w:right="0" w:hanging="0"/>
        <w:jc w:val="left"/>
        <w:rPr/>
      </w:pPr>
      <w:r>
        <w:rPr/>
        <w:t>​</w:t>
      </w:r>
    </w:p>
    <w:p>
      <w:pPr>
        <w:pStyle w:val="TextBody"/>
        <w:bidi w:val="0"/>
        <w:spacing w:lineRule="atLeast" w:line="272"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3" w:before="14" w:after="0"/>
        <w:ind w:left="0" w:right="0" w:hanging="0"/>
        <w:jc w:val="both"/>
        <w:rPr>
          <w:rFonts w:ascii="Times New Roman;Times;serif" w:hAnsi="Times New Roman;Times;serif"/>
          <w:sz w:val="24"/>
        </w:rPr>
      </w:pPr>
      <w:r>
        <w:rPr>
          <w:rFonts w:ascii="Times New Roman;Times;serif" w:hAnsi="Times New Roman;Times;serif"/>
          <w:sz w:val="24"/>
        </w:rPr>
        <w:t>of New York, for inspection by the registered holder of any Warrant. The Warrant Agent may require any such holder to submit his, her or its Warrant for inspection by it.</w:t>
      </w:r>
    </w:p>
    <w:p>
      <w:pPr>
        <w:pStyle w:val="TextBody"/>
        <w:bidi w:val="0"/>
        <w:spacing w:lineRule="atLeast" w:line="273" w:before="247" w:after="0"/>
        <w:ind w:left="720" w:right="0" w:hanging="0"/>
        <w:jc w:val="left"/>
        <w:rPr>
          <w:rFonts w:ascii="Times New Roman;Times;serif" w:hAnsi="Times New Roman;Times;serif"/>
          <w:sz w:val="22"/>
        </w:rPr>
      </w:pPr>
      <w:r>
        <w:rPr>
          <w:rFonts w:ascii="Times New Roman;Times;serif" w:hAnsi="Times New Roman;Times;serif"/>
          <w:sz w:val="24"/>
        </w:rPr>
        <w:t>9.6</w:t>
      </w:r>
      <w:r>
        <w:rPr>
          <w:rFonts w:ascii="Times New Roman;Times;serif" w:hAnsi="Times New Roman;Times;serif"/>
          <w:sz w:val="24"/>
          <w:u w:val="single"/>
        </w:rPr>
        <w:t>Counterparts</w:t>
      </w:r>
      <w:r>
        <w:rPr>
          <w:rFonts w:ascii="Times New Roman;Times;serif" w:hAnsi="Times New Roman;Times;serif"/>
          <w:sz w:val="24"/>
        </w:rPr>
        <w:t>. This Agreement may be executed in any number of original or</w:t>
      </w:r>
    </w:p>
    <w:p>
      <w:pPr>
        <w:pStyle w:val="TextBody"/>
        <w:bidi w:val="0"/>
        <w:spacing w:lineRule="atLeast" w:line="273" w:before="0" w:after="0"/>
        <w:ind w:left="0" w:right="0" w:hanging="0"/>
        <w:jc w:val="both"/>
        <w:rPr>
          <w:rFonts w:ascii="Times New Roman;Times;serif" w:hAnsi="Times New Roman;Times;serif"/>
          <w:sz w:val="24"/>
        </w:rPr>
      </w:pPr>
      <w:r>
        <w:rPr>
          <w:rFonts w:ascii="Times New Roman;Times;serif" w:hAnsi="Times New Roman;Times;serif"/>
          <w:sz w:val="24"/>
        </w:rPr>
        <w:t>facsimile counterparts and each of such counterparts shall for all purposes be deemed to be an original, and all such counterparts shall together constitute but one and the same instrument.</w:t>
      </w:r>
    </w:p>
    <w:p>
      <w:pPr>
        <w:pStyle w:val="TextBody"/>
        <w:bidi w:val="0"/>
        <w:spacing w:lineRule="atLeast" w:line="273" w:before="246" w:after="0"/>
        <w:ind w:left="720" w:right="0" w:hanging="0"/>
        <w:jc w:val="left"/>
        <w:rPr>
          <w:rFonts w:ascii="Times New Roman;Times;serif" w:hAnsi="Times New Roman;Times;serif"/>
          <w:sz w:val="22"/>
        </w:rPr>
      </w:pPr>
      <w:r>
        <w:rPr>
          <w:rFonts w:ascii="Times New Roman;Times;serif" w:hAnsi="Times New Roman;Times;serif"/>
          <w:sz w:val="24"/>
        </w:rPr>
        <w:t>9.7</w:t>
      </w:r>
      <w:r>
        <w:rPr>
          <w:rFonts w:ascii="Times New Roman;Times;serif" w:hAnsi="Times New Roman;Times;serif"/>
          <w:sz w:val="24"/>
          <w:u w:val="single"/>
        </w:rPr>
        <w:t>Effect of Headings</w:t>
      </w:r>
      <w:r>
        <w:rPr>
          <w:rFonts w:ascii="Times New Roman;Times;serif" w:hAnsi="Times New Roman;Times;serif"/>
          <w:sz w:val="24"/>
        </w:rPr>
        <w:t>. The section headings herein are for convenience only and are</w:t>
      </w:r>
    </w:p>
    <w:p>
      <w:pPr>
        <w:pStyle w:val="TextBody"/>
        <w:bidi w:val="0"/>
        <w:spacing w:lineRule="atLeast" w:line="272" w:before="6" w:after="0"/>
        <w:ind w:left="0" w:right="0" w:hanging="0"/>
        <w:jc w:val="left"/>
        <w:rPr>
          <w:rFonts w:ascii="Times New Roman;Times;serif" w:hAnsi="Times New Roman;Times;serif"/>
          <w:sz w:val="24"/>
        </w:rPr>
      </w:pPr>
      <w:r>
        <w:rPr>
          <w:rFonts w:ascii="Times New Roman;Times;serif" w:hAnsi="Times New Roman;Times;serif"/>
          <w:sz w:val="24"/>
        </w:rPr>
        <w:t>not part of this Agreement and shall not affect the interpretation thereof.</w:t>
      </w:r>
    </w:p>
    <w:p>
      <w:pPr>
        <w:pStyle w:val="TextBody"/>
        <w:bidi w:val="0"/>
        <w:spacing w:lineRule="atLeast" w:line="273" w:before="241" w:after="0"/>
        <w:ind w:left="720" w:right="0" w:hanging="0"/>
        <w:jc w:val="left"/>
        <w:rPr>
          <w:rFonts w:ascii="Times New Roman;Times;serif" w:hAnsi="Times New Roman;Times;serif"/>
          <w:sz w:val="22"/>
        </w:rPr>
      </w:pPr>
      <w:r>
        <w:rPr>
          <w:rFonts w:ascii="Times New Roman;Times;serif" w:hAnsi="Times New Roman;Times;serif"/>
          <w:sz w:val="24"/>
        </w:rPr>
        <w:t>9.8</w:t>
      </w:r>
      <w:r>
        <w:rPr>
          <w:rFonts w:ascii="Times New Roman;Times;serif" w:hAnsi="Times New Roman;Times;serif"/>
          <w:sz w:val="24"/>
          <w:u w:val="single"/>
        </w:rPr>
        <w:t>Amendments</w:t>
      </w:r>
      <w:r>
        <w:rPr>
          <w:rFonts w:ascii="Times New Roman;Times;serif" w:hAnsi="Times New Roman;Times;serif"/>
          <w:sz w:val="24"/>
        </w:rPr>
        <w:t>. This Agreement may be amended by the parties hereto without the</w:t>
      </w:r>
    </w:p>
    <w:p>
      <w:pPr>
        <w:pStyle w:val="TextBody"/>
        <w:bidi w:val="0"/>
        <w:spacing w:lineRule="atLeast" w:line="275" w:before="4" w:after="0"/>
        <w:ind w:left="0" w:right="0" w:hanging="0"/>
        <w:jc w:val="both"/>
        <w:rPr>
          <w:rFonts w:ascii="Times New Roman;Times;serif" w:hAnsi="Times New Roman;Times;serif"/>
          <w:sz w:val="24"/>
        </w:rPr>
      </w:pPr>
      <w:r>
        <w:rPr>
          <w:rFonts w:ascii="Times New Roman;Times;serif" w:hAnsi="Times New Roman;Times;serif"/>
          <w:sz w:val="24"/>
        </w:rPr>
        <w:t>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Exercise Price or accelerate the Termination Date, shall require the written consent of the registered holders of a majority of the then outstanding Warrants.</w:t>
      </w:r>
    </w:p>
    <w:p>
      <w:pPr>
        <w:pStyle w:val="TextBody"/>
        <w:bidi w:val="0"/>
        <w:spacing w:lineRule="atLeast" w:line="273" w:before="246" w:after="0"/>
        <w:ind w:left="720" w:right="0" w:hanging="0"/>
        <w:jc w:val="left"/>
        <w:rPr>
          <w:rFonts w:ascii="Times New Roman;Times;serif" w:hAnsi="Times New Roman;Times;serif"/>
          <w:sz w:val="22"/>
        </w:rPr>
      </w:pPr>
      <w:r>
        <w:rPr>
          <w:rFonts w:ascii="Times New Roman;Times;serif" w:hAnsi="Times New Roman;Times;serif"/>
          <w:sz w:val="24"/>
        </w:rPr>
        <w:t>9.9</w:t>
      </w:r>
      <w:r>
        <w:rPr>
          <w:rFonts w:ascii="Times New Roman;Times;serif" w:hAnsi="Times New Roman;Times;serif"/>
          <w:sz w:val="24"/>
          <w:u w:val="single"/>
        </w:rPr>
        <w:t>Severability</w:t>
      </w:r>
      <w:r>
        <w:rPr>
          <w:rFonts w:ascii="Times New Roman;Times;serif" w:hAnsi="Times New Roman;Times;serif"/>
          <w:sz w:val="24"/>
        </w:rPr>
        <w:t>. Whenever possible, each provision of this Agreement shall be</w:t>
      </w:r>
    </w:p>
    <w:p>
      <w:pPr>
        <w:pStyle w:val="TextBody"/>
        <w:bidi w:val="0"/>
        <w:spacing w:lineRule="atLeast" w:line="275" w:before="3" w:after="0"/>
        <w:ind w:left="0" w:right="0" w:hanging="0"/>
        <w:jc w:val="both"/>
        <w:rPr>
          <w:rFonts w:ascii="Times New Roman;Times;serif" w:hAnsi="Times New Roman;Times;serif"/>
          <w:sz w:val="24"/>
        </w:rPr>
      </w:pPr>
      <w:r>
        <w:rPr>
          <w:rFonts w:ascii="Times New Roman;Times;serif" w:hAnsi="Times New Roman;Times;serif"/>
          <w:sz w:val="24"/>
        </w:rPr>
        <w:t>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pStyle w:val="TextBody"/>
        <w:bidi w:val="0"/>
        <w:spacing w:lineRule="atLeast" w:line="272" w:before="247" w:after="6010"/>
        <w:ind w:left="0" w:right="0" w:hanging="0"/>
        <w:jc w:val="center"/>
        <w:rPr>
          <w:rFonts w:ascii="Times New Roman;Times;serif" w:hAnsi="Times New Roman;Times;serif"/>
          <w:spacing w:val="-1"/>
          <w:sz w:val="24"/>
        </w:rPr>
      </w:pPr>
      <w:r>
        <w:rPr>
          <w:rFonts w:ascii="Times New Roman;Times;serif" w:hAnsi="Times New Roman;Times;serif"/>
          <w:spacing w:val="-1"/>
          <w:sz w:val="24"/>
        </w:rPr>
        <w:t>[Signature page follows]</w:t>
      </w:r>
    </w:p>
    <w:p>
      <w:pPr>
        <w:pStyle w:val="TextBody"/>
        <w:bidi w:val="0"/>
        <w:spacing w:before="0" w:after="6010"/>
        <w:ind w:left="0" w:right="0" w:hanging="0"/>
        <w:jc w:val="left"/>
        <w:rPr/>
      </w:pPr>
      <w:r>
        <w:rPr/>
        <w:t>​</w:t>
      </w:r>
    </w:p>
    <w:p>
      <w:pPr>
        <w:pStyle w:val="TextBody"/>
        <w:bidi w:val="0"/>
        <w:spacing w:lineRule="atLeast" w:line="272"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tLeast" w:line="276" w:before="0" w:after="0"/>
        <w:ind w:left="0" w:right="216" w:firstLine="720"/>
        <w:jc w:val="left"/>
        <w:rPr/>
      </w:pPr>
      <w:r>
        <w:rPr/>
        <w:t>​</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this Agreement has been duly executed by the parties hereto as of the day and year first above written.</w:t>
      </w:r>
    </w:p>
    <w:p>
      <w:pPr>
        <w:pStyle w:val="TextBody"/>
        <w:bidi w:val="0"/>
        <w:spacing w:before="0" w:after="480"/>
        <w:ind w:left="4320" w:right="0" w:hanging="0"/>
        <w:jc w:val="left"/>
        <w:rPr>
          <w:rFonts w:ascii="Times New Roman;Times;serif" w:hAnsi="Times New Roman;Times;serif"/>
          <w:b/>
          <w:sz w:val="24"/>
        </w:rPr>
      </w:pPr>
      <w:r>
        <w:rPr>
          <w:rFonts w:ascii="Times New Roman;Times;serif" w:hAnsi="Times New Roman;Times;serif"/>
          <w:b/>
          <w:sz w:val="24"/>
        </w:rPr>
        <w:t xml:space="preserve">AEON BIOPHARMA, INC. </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Robert Bancroft​ ​</w:t>
      </w:r>
    </w:p>
    <w:p>
      <w:pPr>
        <w:pStyle w:val="TextBody"/>
        <w:bidi w:val="0"/>
        <w:spacing w:before="0" w:after="720"/>
        <w:ind w:left="4320" w:right="0" w:hanging="0"/>
        <w:jc w:val="left"/>
        <w:rPr>
          <w:rFonts w:ascii="Times New Roman;Times;serif" w:hAnsi="Times New Roman;Times;serif"/>
          <w:sz w:val="24"/>
        </w:rPr>
      </w:pPr>
      <w:r>
        <w:rPr>
          <w:rFonts w:ascii="Times New Roman;Times;serif" w:hAnsi="Times New Roman;Times;serif"/>
          <w:sz w:val="24"/>
        </w:rPr>
        <w:t>Name: Robert Bancroft</w:t>
        <w:br/>
        <w:t xml:space="preserve">Title: Chief Executive Officer </w:t>
      </w:r>
    </w:p>
    <w:p>
      <w:pPr>
        <w:pStyle w:val="TextBody"/>
        <w:bidi w:val="0"/>
        <w:spacing w:before="0" w:after="480"/>
        <w:ind w:left="4320" w:right="0" w:hanging="0"/>
        <w:jc w:val="left"/>
        <w:rPr>
          <w:rFonts w:ascii="Times New Roman;Times;serif" w:hAnsi="Times New Roman;Times;serif"/>
          <w:b/>
          <w:sz w:val="24"/>
        </w:rPr>
      </w:pPr>
      <w:r>
        <w:rPr>
          <w:rFonts w:ascii="Times New Roman;Times;serif" w:hAnsi="Times New Roman;Times;serif"/>
          <w:b/>
          <w:sz w:val="24"/>
        </w:rPr>
        <w:t>CONTINENTAL STOCK TRANSFER &amp; TRUST COMPANY</w:t>
      </w:r>
    </w:p>
    <w:p>
      <w:pPr>
        <w:pStyle w:val="TextBody"/>
        <w:bidi w:val="0"/>
        <w:spacing w:before="0" w:after="24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Henry Farrell​ ​</w:t>
      </w:r>
    </w:p>
    <w:p>
      <w:pPr>
        <w:pStyle w:val="TextBody"/>
        <w:bidi w:val="0"/>
        <w:spacing w:before="0" w:after="240"/>
        <w:ind w:left="4320" w:right="0" w:hanging="0"/>
        <w:jc w:val="both"/>
        <w:rPr>
          <w:rFonts w:ascii="Times New Roman;Times;serif" w:hAnsi="Times New Roman;Times;serif"/>
          <w:sz w:val="24"/>
        </w:rPr>
      </w:pPr>
      <w:r>
        <w:rPr>
          <w:rFonts w:ascii="Times New Roman;Times;serif" w:hAnsi="Times New Roman;Times;serif"/>
          <w:sz w:val="24"/>
        </w:rPr>
        <w:t xml:space="preserve">Name: </w:t>
      </w:r>
      <w:r>
        <w:rPr>
          <w:rFonts w:ascii="Times New Roman;Times;serif" w:hAnsi="Times New Roman;Times;serif"/>
          <w:sz w:val="24"/>
          <w:u w:val="single"/>
        </w:rPr>
        <w:t>Henry Farrell​ ​</w:t>
      </w:r>
    </w:p>
    <w:p>
      <w:pPr>
        <w:pStyle w:val="TextBody"/>
        <w:bidi w:val="0"/>
        <w:spacing w:before="0" w:after="240"/>
        <w:ind w:left="4320" w:right="0" w:hanging="0"/>
        <w:jc w:val="both"/>
        <w:rPr>
          <w:rFonts w:ascii="Times New Roman;Times;serif" w:hAnsi="Times New Roman;Times;serif"/>
          <w:sz w:val="24"/>
        </w:rPr>
      </w:pPr>
      <w:r>
        <w:rPr>
          <w:rFonts w:ascii="Times New Roman;Times;serif" w:hAnsi="Times New Roman;Times;serif"/>
          <w:sz w:val="24"/>
        </w:rPr>
        <w:t xml:space="preserve">Title: </w:t>
      </w:r>
      <w:r>
        <w:rPr>
          <w:rFonts w:ascii="Times New Roman;Times;serif" w:hAnsi="Times New Roman;Times;serif"/>
          <w:sz w:val="24"/>
          <w:u w:val="single"/>
        </w:rPr>
        <w:t>Vice President​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3" w:before="15" w:after="230"/>
        <w:ind w:left="0" w:right="0" w:hanging="0"/>
        <w:jc w:val="center"/>
        <w:rPr>
          <w:rFonts w:ascii="Times New Roman;Times;serif" w:hAnsi="Times New Roman;Times;serif"/>
          <w:b/>
          <w:sz w:val="24"/>
        </w:rPr>
      </w:pPr>
      <w:r>
        <w:rPr>
          <w:rFonts w:ascii="Times New Roman;Times;serif" w:hAnsi="Times New Roman;Times;serif"/>
          <w:b/>
          <w:sz w:val="24"/>
        </w:rPr>
        <w:t xml:space="preserve">Exhibit A-1 </w:t>
      </w:r>
    </w:p>
    <w:p>
      <w:pPr>
        <w:pStyle w:val="TextBody"/>
        <w:bidi w:val="0"/>
        <w:spacing w:before="0" w:after="230"/>
        <w:ind w:left="0" w:right="0" w:hanging="0"/>
        <w:jc w:val="left"/>
        <w:rPr/>
      </w:pPr>
      <w:r>
        <w:rPr/>
        <w:t>​</w:t>
      </w:r>
    </w:p>
    <w:p>
      <w:pPr>
        <w:pStyle w:val="TextBody"/>
        <w:bidi w:val="0"/>
        <w:spacing w:lineRule="atLeast" w:line="273" w:before="0" w:after="12216"/>
        <w:ind w:left="0" w:right="0" w:hanging="0"/>
        <w:jc w:val="center"/>
        <w:rPr>
          <w:rFonts w:ascii="Times New Roman;Times;serif" w:hAnsi="Times New Roman;Times;serif"/>
          <w:b/>
          <w:spacing w:val="-3"/>
          <w:sz w:val="24"/>
        </w:rPr>
      </w:pPr>
      <w:r>
        <w:rPr>
          <w:rFonts w:ascii="Times New Roman;Times;serif" w:hAnsi="Times New Roman;Times;serif"/>
          <w:b/>
          <w:spacing w:val="-3"/>
          <w:sz w:val="24"/>
        </w:rPr>
        <w:t>Form of Two-Year Milestone Warrant</w:t>
      </w:r>
    </w:p>
    <w:p>
      <w:pPr>
        <w:pStyle w:val="TextBody"/>
        <w:bidi w:val="0"/>
        <w:spacing w:before="0" w:after="12216"/>
        <w:ind w:left="0" w:right="0" w:hanging="0"/>
        <w:jc w:val="left"/>
        <w:rPr/>
      </w:pPr>
      <w:r>
        <w:rPr/>
        <w:t>​</w:t>
      </w:r>
    </w:p>
    <w:p>
      <w:pPr>
        <w:pStyle w:val="TextBody"/>
        <w:bidi w:val="0"/>
        <w:spacing w:lineRule="atLeast" w:line="273"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352"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WARRANT TO PURCHASE COMMON STOCK OR PRE-FUNDED WARRANTS </w:t>
        <w:br/>
        <w:t>AEON BIOPHARMA, INC.</w:t>
      </w:r>
    </w:p>
    <w:p>
      <w:pPr>
        <w:pStyle w:val="TextBody"/>
        <w:bidi w:val="0"/>
        <w:spacing w:lineRule="atLeast" w:line="230" w:before="249" w:after="0"/>
        <w:ind w:left="0" w:right="0" w:hanging="0"/>
        <w:jc w:val="left"/>
        <w:rPr>
          <w:rFonts w:ascii="Times New Roman;Times;serif" w:hAnsi="Times New Roman;Times;serif"/>
          <w:sz w:val="20"/>
        </w:rPr>
      </w:pPr>
      <w:r>
        <w:rPr>
          <w:rFonts w:ascii="Times New Roman;Times;serif" w:hAnsi="Times New Roman;Times;serif"/>
          <w:sz w:val="20"/>
        </w:rPr>
        <w:t>Warrant Shares: _______Issuance Date: July 15, 2026</w:t>
      </w:r>
    </w:p>
    <w:p>
      <w:pPr>
        <w:pStyle w:val="TextBody"/>
        <w:bidi w:val="0"/>
        <w:spacing w:lineRule="atLeast" w:line="230" w:before="474" w:after="0"/>
        <w:ind w:left="0" w:right="0" w:firstLine="720"/>
        <w:jc w:val="both"/>
        <w:rPr>
          <w:rFonts w:ascii="Times New Roman;Times;serif" w:hAnsi="Times New Roman;Times;serif"/>
          <w:sz w:val="20"/>
        </w:rPr>
      </w:pPr>
      <w:r>
        <w:rPr>
          <w:rFonts w:ascii="Times New Roman;Times;serif" w:hAnsi="Times New Roman;Times;serif"/>
          <w:sz w:val="20"/>
        </w:rPr>
        <w:t>THIS WARRANT (the “</w:t>
      </w:r>
      <w:r>
        <w:rPr>
          <w:rFonts w:ascii="Times New Roman;Times;serif" w:hAnsi="Times New Roman;Times;serif"/>
          <w:sz w:val="20"/>
          <w:u w:val="single"/>
        </w:rPr>
        <w:t>Warrant</w:t>
      </w:r>
      <w:r>
        <w:rPr>
          <w:rFonts w:ascii="Times New Roman;Times;serif" w:hAnsi="Times New Roman;Times;serif"/>
          <w:sz w:val="20"/>
        </w:rPr>
        <w:t>”) certifies that, for value received, [●]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July 15, 2026 (the “</w:t>
      </w:r>
      <w:r>
        <w:rPr>
          <w:rFonts w:ascii="Times New Roman;Times;serif" w:hAnsi="Times New Roman;Times;serif"/>
          <w:sz w:val="20"/>
          <w:u w:val="single"/>
        </w:rPr>
        <w:t>Initial Exercise Date</w:t>
      </w:r>
      <w:r>
        <w:rPr>
          <w:rFonts w:ascii="Times New Roman;Times;serif" w:hAnsi="Times New Roman;Times;serif"/>
          <w:sz w:val="20"/>
        </w:rPr>
        <w:t>”) and on or prior to the earliest of (x) 5:00 p.m. (New York City time) on July 15, 2028, and (y) 45 days after the Company's public announcement that the Company has received Type 2B meeting minutes from the FDA that do not preclude advancement of ABP-450 toward a Biologics License Application under the 351(k) biosimilar pathway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AEON Biopharma, Inc., a Delaware corporation (the “</w:t>
      </w:r>
      <w:r>
        <w:rPr>
          <w:rFonts w:ascii="Times New Roman;Times;serif" w:hAnsi="Times New Roman;Times;serif"/>
          <w:sz w:val="20"/>
          <w:u w:val="single"/>
        </w:rPr>
        <w:t>Company</w:t>
      </w:r>
      <w:r>
        <w:rPr>
          <w:rFonts w:ascii="Times New Roman;Times;serif" w:hAnsi="Times New Roman;Times;serif"/>
          <w:sz w:val="20"/>
        </w:rPr>
        <w:t>”), up to [●]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spacing w:lineRule="atLeast" w:line="230" w:before="241" w:after="0"/>
        <w:ind w:left="0" w:right="0" w:firstLine="720"/>
        <w:jc w:val="both"/>
        <w:rPr>
          <w:rFonts w:ascii="Times New Roman;Times;serif" w:hAnsi="Times New Roman;Times;serif"/>
          <w:sz w:val="20"/>
        </w:rPr>
      </w:pPr>
      <w:r>
        <w:rPr>
          <w:rFonts w:ascii="Times New Roman;Times;serif" w:hAnsi="Times New Roman;Times;serif"/>
          <w:sz w:val="20"/>
          <w:u w:val="single"/>
        </w:rPr>
        <w:t>Section 1. Definitions</w:t>
      </w:r>
      <w:r>
        <w:rPr>
          <w:rFonts w:ascii="Times New Roman;Times;serif" w:hAnsi="Times New Roman;Times;serif"/>
          <w:sz w:val="20"/>
        </w:rPr>
        <w:t>. In addition to the terms defined elsewhere in this Warrant, the following terms have the meanings indicated in this Section 1:</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tLeast" w:line="230" w:before="240" w:after="0"/>
        <w:ind w:left="0" w:right="0" w:firstLine="720"/>
        <w:jc w:val="both"/>
        <w:rPr/>
      </w:pPr>
      <w:r>
        <w:rPr>
          <w:spacing w:val="-1"/>
        </w:rPr>
        <w:t>“</w:t>
      </w:r>
      <w:r>
        <w:rPr>
          <w:rFonts w:ascii="Times New Roman;Times;serif" w:hAnsi="Times New Roman;Times;serif"/>
          <w:spacing w:val="-1"/>
          <w:sz w:val="20"/>
          <w:u w:val="single"/>
        </w:rPr>
        <w:t>Bid Price</w:t>
      </w:r>
      <w:r>
        <w:rPr>
          <w:rFonts w:ascii="Times New Roman;Times;serif" w:hAnsi="Times New Roman;Times;serif"/>
          <w:spacing w:val="-1"/>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lineRule="atLeast" w:line="230" w:before="236" w:after="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lineRule="atLeast" w:line="230" w:before="243" w:after="0"/>
        <w:ind w:left="720" w:right="0" w:hanging="0"/>
        <w:jc w:val="left"/>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Class A common stock of the Company, par value $0.0001 per share, and any other class of securities into which such securities may hereafter be reclassified or changed.</w:t>
      </w:r>
    </w:p>
    <w:p>
      <w:pPr>
        <w:pStyle w:val="TextBody"/>
        <w:bidi w:val="0"/>
        <w:spacing w:lineRule="atLeast" w:line="230" w:before="237" w:after="0"/>
        <w:ind w:left="0" w:right="0" w:firstLine="720"/>
        <w:jc w:val="both"/>
        <w:rPr/>
      </w:pPr>
      <w:r>
        <w:rPr/>
        <w:t>“</w:t>
      </w:r>
      <w:r>
        <w:rPr>
          <w:rFonts w:ascii="Times New Roman;Times;serif" w:hAnsi="Times New Roman;Times;serif"/>
          <w:sz w:val="20"/>
          <w:u w:val="single"/>
        </w:rPr>
        <w:t>Common Stock Deemed Outstanding</w:t>
      </w:r>
      <w:r>
        <w:rPr>
          <w:rFonts w:ascii="Times New Roman;Times;serif" w:hAnsi="Times New Roman;Times;serif"/>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7" w:after="0"/>
        <w:ind w:left="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lineRule="atLeast" w:line="232" w:before="235" w:after="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Pre-Funded Warrant</w:t>
      </w:r>
      <w:r>
        <w:rPr>
          <w:rFonts w:ascii="Times New Roman;Times;serif" w:hAnsi="Times New Roman;Times;serif"/>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sz w:val="20"/>
          <w:u w:val="single"/>
        </w:rPr>
        <w:t>Exhibit C</w:t>
      </w:r>
      <w:r>
        <w:rPr>
          <w:rFonts w:ascii="Times New Roman;Times;serif" w:hAnsi="Times New Roman;Times;serif"/>
          <w:sz w:val="20"/>
        </w:rPr>
        <w:t xml:space="preserve"> hereto.</w:t>
      </w:r>
    </w:p>
    <w:p>
      <w:pPr>
        <w:pStyle w:val="TextBody"/>
        <w:bidi w:val="0"/>
        <w:spacing w:lineRule="atLeast" w:line="225" w:before="245" w:after="0"/>
        <w:ind w:left="720" w:right="0" w:hanging="0"/>
        <w:jc w:val="left"/>
        <w:rPr/>
      </w:pPr>
      <w:r>
        <w:rPr/>
        <w:t>“</w:t>
      </w:r>
      <w:r>
        <w:rPr>
          <w:rFonts w:ascii="Times New Roman;Times;serif" w:hAnsi="Times New Roman;Times;serif"/>
          <w:sz w:val="20"/>
          <w:u w:val="single"/>
        </w:rPr>
        <w:t>Pre-Funded Warrant Exercise Price</w:t>
      </w:r>
      <w:r>
        <w:rPr>
          <w:rFonts w:ascii="Times New Roman;Times;serif" w:hAnsi="Times New Roman;Times;serif"/>
          <w:sz w:val="20"/>
        </w:rPr>
        <w:t>” means $0.0001 per share of Common Stock.</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lineRule="atLeast" w:line="225" w:before="247" w:after="0"/>
        <w:ind w:left="720" w:right="0" w:hanging="0"/>
        <w:jc w:val="left"/>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Common Stock is traded on a Trading Market.</w:t>
      </w:r>
    </w:p>
    <w:p>
      <w:pPr>
        <w:pStyle w:val="TextBody"/>
        <w:bidi w:val="0"/>
        <w:spacing w:lineRule="atLeast" w:line="230" w:before="240" w:after="0"/>
        <w:ind w:left="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tLeast" w:line="230" w:before="236" w:after="0"/>
        <w:ind w:left="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Continental Stock Transfer &amp; Trust Company, the current transfer agent of the Company, with a mailing address of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Maria Vaz, and an e-mail address of </w:t>
      </w:r>
      <w:r>
        <w:rPr>
          <w:rFonts w:ascii="Times New Roman;Times;serif" w:hAnsi="Times New Roman;Times;serif"/>
          <w:color w:val="0000FF"/>
          <w:sz w:val="20"/>
          <w:u w:val="single"/>
        </w:rPr>
        <w:t>mvaz@continentalstock.com</w:t>
      </w:r>
      <w:r>
        <w:rPr>
          <w:rFonts w:ascii="Times New Roman;Times;serif" w:hAnsi="Times New Roman;Times;serif"/>
          <w:sz w:val="20"/>
        </w:rPr>
        <w:t>, and any successor transfer agent of the Company.</w:t>
      </w:r>
    </w:p>
    <w:p>
      <w:pPr>
        <w:pStyle w:val="TextBody"/>
        <w:bidi w:val="0"/>
        <w:spacing w:lineRule="atLeast" w:line="229" w:before="252" w:after="0"/>
        <w:ind w:left="0" w:right="0" w:firstLine="720"/>
        <w:jc w:val="both"/>
        <w:rPr/>
      </w:pPr>
      <w:r>
        <w:rPr>
          <w:spacing w:val="-1"/>
        </w:rPr>
        <w:t>“</w:t>
      </w:r>
      <w:r>
        <w:rPr>
          <w:rFonts w:ascii="Times New Roman;Times;serif" w:hAnsi="Times New Roman;Times;serif"/>
          <w:spacing w:val="-1"/>
          <w:sz w:val="20"/>
          <w:u w:val="single"/>
        </w:rPr>
        <w:t>VWAP</w:t>
      </w:r>
      <w:r>
        <w:rPr>
          <w:rFonts w:ascii="Times New Roman;Times;serif" w:hAnsi="Times New Roman;Times;serif"/>
          <w:spacing w:val="-1"/>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Warrant Agency Agreement</w:t>
      </w:r>
      <w:r>
        <w:rPr>
          <w:rFonts w:ascii="Times New Roman;Times;serif" w:hAnsi="Times New Roman;Times;serif"/>
          <w:sz w:val="20"/>
        </w:rPr>
        <w:t>” means that certain warrant agency agreement, dated on or about the Initial Exercise Date, between the Company and the Warrant Agent.</w:t>
      </w:r>
    </w:p>
    <w:p>
      <w:pPr>
        <w:pStyle w:val="TextBody"/>
        <w:bidi w:val="0"/>
        <w:spacing w:lineRule="atLeast" w:line="225" w:before="248" w:after="0"/>
        <w:ind w:left="0" w:right="0" w:hanging="0"/>
        <w:jc w:val="center"/>
        <w:rPr/>
      </w:pPr>
      <w:r>
        <w:rPr/>
        <w:t>“</w:t>
      </w:r>
      <w:r>
        <w:rPr>
          <w:rFonts w:ascii="Times New Roman;Times;serif" w:hAnsi="Times New Roman;Times;serif"/>
          <w:sz w:val="20"/>
          <w:u w:val="single"/>
        </w:rPr>
        <w:t>Warrant Agent</w:t>
      </w:r>
      <w:r>
        <w:rPr>
          <w:rFonts w:ascii="Times New Roman;Times;serif" w:hAnsi="Times New Roman;Times;serif"/>
          <w:sz w:val="20"/>
        </w:rPr>
        <w:t>” means the Transfer Agent and any successor warrant agent of the Company.</w:t>
      </w:r>
    </w:p>
    <w:p>
      <w:pPr>
        <w:pStyle w:val="TextBody"/>
        <w:bidi w:val="0"/>
        <w:spacing w:lineRule="atLeast" w:line="230" w:before="238" w:after="0"/>
        <w:ind w:left="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means this Warrant and other warrants to purchase Common Stock issued by the Company in the offering in which this Warrant was issued.</w:t>
      </w:r>
    </w:p>
    <w:p>
      <w:pPr>
        <w:pStyle w:val="TextBody"/>
        <w:bidi w:val="0"/>
        <w:spacing w:lineRule="atLeast" w:line="225" w:before="248" w:after="889"/>
        <w:ind w:left="720" w:right="0" w:hanging="0"/>
        <w:jc w:val="left"/>
        <w:rPr>
          <w:rFonts w:ascii="Times New Roman;Times;serif" w:hAnsi="Times New Roman;Times;serif"/>
          <w:sz w:val="20"/>
        </w:rPr>
      </w:pPr>
      <w:r>
        <w:rPr>
          <w:rFonts w:ascii="Times New Roman;Times;serif" w:hAnsi="Times New Roman;Times;serif"/>
          <w:sz w:val="20"/>
          <w:u w:val="single"/>
        </w:rPr>
        <w:t>Section 2. Exercise</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23"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pacing w:val="-2"/>
          <w:sz w:val="20"/>
          <w:u w:val="single"/>
        </w:rPr>
        <w:t>Exercise of Warrant</w:t>
      </w:r>
      <w:r>
        <w:rPr>
          <w:rFonts w:ascii="Times New Roman;Times;serif" w:hAnsi="Times New Roman;Times;serif"/>
          <w:spacing w:val="-2"/>
          <w:sz w:val="20"/>
        </w:rPr>
        <w:t>.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w:t>
        <w:softHyphen/>
        <w:t xml:space="preserve">mail attachment) of the Notice of Exercise in the form attached hereto as </w:t>
      </w:r>
      <w:r>
        <w:rPr>
          <w:rFonts w:ascii="Times New Roman;Times;serif" w:hAnsi="Times New Roman;Times;serif"/>
          <w:spacing w:val="-2"/>
          <w:sz w:val="20"/>
          <w:u w:val="single"/>
        </w:rPr>
        <w:t>Exhibit A</w:t>
      </w:r>
      <w:r>
        <w:rPr>
          <w:rFonts w:ascii="Times New Roman;Times;serif" w:hAnsi="Times New Roman;Times;serif"/>
          <w:spacing w:val="-2"/>
          <w:sz w:val="22"/>
        </w:rPr>
        <w:t xml:space="preserve"> </w:t>
      </w:r>
      <w:r>
        <w:rPr>
          <w:rFonts w:ascii="Times New Roman;Times;serif" w:hAnsi="Times New Roman;Times;serif"/>
          <w:spacing w:val="-2"/>
          <w:sz w:val="20"/>
        </w:rPr>
        <w:t>(the “</w:t>
      </w:r>
      <w:r>
        <w:rPr>
          <w:rFonts w:ascii="Times New Roman;Times;serif" w:hAnsi="Times New Roman;Times;serif"/>
          <w:spacing w:val="-2"/>
          <w:sz w:val="20"/>
          <w:u w:val="single"/>
        </w:rPr>
        <w:t>Notice of Exercise</w:t>
      </w:r>
      <w:r>
        <w:rPr>
          <w:rFonts w:ascii="Times New Roman;Times;serif" w:hAnsi="Times New Roman;Times;serif"/>
          <w:spacing w:val="-2"/>
          <w:sz w:val="22"/>
        </w:rPr>
        <w:t>”</w:t>
      </w:r>
      <w:r>
        <w:rPr>
          <w:rFonts w:ascii="Times New Roman;Times;serif" w:hAnsi="Times New Roman;Times;serif"/>
          <w:spacing w:val="-2"/>
          <w:sz w:val="20"/>
        </w:rPr>
        <w:t>).</w:t>
      </w:r>
      <w:r>
        <w:rPr>
          <w:rFonts w:ascii="Times New Roman;Times;serif" w:hAnsi="Times New Roman;Times;serif"/>
          <w:spacing w:val="-2"/>
          <w:sz w:val="22"/>
          <w:u w:val="single"/>
        </w:rPr>
        <w:t xml:space="preserve"> </w:t>
      </w:r>
      <w:r>
        <w:rPr>
          <w:rFonts w:ascii="Times New Roman;Times;serif" w:hAnsi="Times New Roman;Times;serif"/>
          <w:spacing w:val="-2"/>
          <w:sz w:val="20"/>
        </w:rPr>
        <w:t>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spacing w:val="-2"/>
          <w:sz w:val="20"/>
          <w:u w:val="single"/>
        </w:rPr>
        <w:t>Warrant Share Delivery Date</w:t>
      </w:r>
      <w:r>
        <w:rPr>
          <w:rFonts w:ascii="Times New Roman;Times;serif" w:hAnsi="Times New Roman;Times;serif"/>
          <w:spacing w:val="-2"/>
          <w:sz w:val="22"/>
        </w:rPr>
        <w:t>”</w:t>
      </w:r>
      <w:r>
        <w:rPr>
          <w:rFonts w:ascii="Times New Roman;Times;serif" w:hAnsi="Times New Roman;Times;serif"/>
          <w:spacing w:val="-2"/>
          <w:sz w:val="20"/>
        </w:rPr>
        <w:t xml:space="preserve">),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spacing w:val="-2"/>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pStyle w:val="TextBody"/>
        <w:bidi w:val="0"/>
        <w:spacing w:lineRule="atLeast" w:line="230" w:before="236" w:after="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pacing w:val="-2"/>
          <w:sz w:val="20"/>
          <w:u w:val="single"/>
        </w:rPr>
        <w:t>Exercise Price</w:t>
      </w:r>
      <w:r>
        <w:rPr>
          <w:rFonts w:ascii="Times New Roman;Times;serif" w:hAnsi="Times New Roman;Times;serif"/>
          <w:spacing w:val="-2"/>
          <w:sz w:val="20"/>
        </w:rPr>
        <w:t>. The exercise price per share of Common Stock under this Warrant shall be $0.3221, subject to adjustment hereunder (the “</w:t>
      </w:r>
      <w:r>
        <w:rPr>
          <w:rFonts w:ascii="Times New Roman;Times;serif" w:hAnsi="Times New Roman;Times;serif"/>
          <w:spacing w:val="-2"/>
          <w:sz w:val="20"/>
          <w:u w:val="single"/>
        </w:rPr>
        <w:t>Exercise Price</w:t>
      </w:r>
      <w:r>
        <w:rPr>
          <w:rFonts w:ascii="Times New Roman;Times;serif" w:hAnsi="Times New Roman;Times;serif"/>
          <w:spacing w:val="-2"/>
          <w:sz w:val="22"/>
        </w:rPr>
        <w:t>”</w:t>
      </w:r>
      <w:r>
        <w:rPr>
          <w:rFonts w:ascii="Times New Roman;Times;serif" w:hAnsi="Times New Roman;Times;serif"/>
          <w:spacing w:val="-2"/>
          <w:sz w:val="20"/>
        </w:rPr>
        <w:t>). In the event this Warrant is exercised for Pre-Funded Warrants, the exercise price per Pre-Funded Warrant under this Warrant shall be $0.3220, which represents the Exercise Price minus the Pre-Funded Warrant Exercise Price, subject to adjustment hereunder.</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Cashless Exercise</w:t>
      </w:r>
      <w:r>
        <w:rPr>
          <w:rFonts w:ascii="Times New Roman;Times;serif" w:hAnsi="Times New Roman;Times;serif"/>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p>
      <w:pPr>
        <w:pStyle w:val="TextBody"/>
        <w:bidi w:val="0"/>
        <w:spacing w:lineRule="atLeast" w:line="230" w:before="235"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as applicable: (i) the VWAP on the Trading Day immediately preceding the date of the</w:t>
      </w:r>
    </w:p>
    <w:p>
      <w:pPr>
        <w:pStyle w:val="TextBody"/>
        <w:bidi w:val="0"/>
        <w:spacing w:lineRule="atLeast" w:line="230" w:before="5" w:after="530"/>
        <w:ind w:left="1224" w:right="0" w:hanging="0"/>
        <w:jc w:val="both"/>
        <w:rPr>
          <w:rFonts w:ascii="Times New Roman;Times;serif" w:hAnsi="Times New Roman;Times;serif"/>
          <w:spacing w:val="-2"/>
          <w:sz w:val="20"/>
        </w:rPr>
      </w:pPr>
      <w:r>
        <w:rPr>
          <w:rFonts w:ascii="Times New Roman;Times;serif" w:hAnsi="Times New Roman;Times;serif"/>
          <w:spacing w:val="-2"/>
          <w:sz w:val="20"/>
        </w:rPr>
        <w:t>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w:t>
      </w:r>
    </w:p>
    <w:p>
      <w:pPr>
        <w:pStyle w:val="TextBody"/>
        <w:bidi w:val="0"/>
        <w:spacing w:before="0" w:after="530"/>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1944" w:right="0" w:hanging="0"/>
        <w:jc w:val="both"/>
        <w:rPr>
          <w:rFonts w:ascii="Times New Roman;Times;serif" w:hAnsi="Times New Roman;Times;serif"/>
          <w:spacing w:val="-1"/>
          <w:sz w:val="20"/>
        </w:rPr>
      </w:pPr>
      <w:r>
        <w:rPr>
          <w:rFonts w:ascii="Times New Roman;Times;serif" w:hAnsi="Times New Roman;Times;serif"/>
          <w:spacing w:val="-1"/>
          <w:sz w:val="20"/>
        </w:rPr>
        <w:t>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tLeast" w:line="230" w:before="24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the Exercise Price of this Warrant, as adjusted hereunder; and</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tLeast" w:line="230" w:before="237" w:after="0"/>
              <w:jc w:val="both"/>
              <w:rPr>
                <w:rFonts w:ascii="Times New Roman;Times;serif" w:hAnsi="Times New Roman;Times;serif"/>
                <w:sz w:val="20"/>
              </w:rPr>
            </w:pPr>
            <w:r>
              <w:rPr>
                <w:rFonts w:ascii="Times New Roman;Times;serif" w:hAnsi="Times New Roman;Times;serif"/>
                <w:sz w:val="20"/>
              </w:rPr>
              <w:t>(X)</w:t>
            </w:r>
          </w:p>
        </w:tc>
        <w:tc>
          <w:tcPr>
            <w:tcW w:w="9934" w:type="dxa"/>
            <w:tcBorders/>
            <w:vAlign w:val="center"/>
          </w:tcPr>
          <w:p>
            <w:pPr>
              <w:pStyle w:val="TableContents"/>
              <w:bidi w:val="0"/>
              <w:spacing w:lineRule="atLeast" w:line="230" w:before="237" w:after="0"/>
              <w:jc w:val="both"/>
              <w:rPr>
                <w:rFonts w:ascii="Times New Roman;Times;serif" w:hAnsi="Times New Roman;Times;serif"/>
                <w:sz w:val="20"/>
              </w:rPr>
            </w:pPr>
            <w:r>
              <w:rPr>
                <w:rFonts w:ascii="Times New Roman;Times;serif" w:hAnsi="Times New Roman;Times;serif"/>
                <w:sz w:val="20"/>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lineRule="atLeast" w:line="230" w:before="242" w:after="0"/>
        <w:ind w:left="0" w:right="0" w:firstLine="720"/>
        <w:jc w:val="both"/>
        <w:rPr>
          <w:rFonts w:ascii="Times New Roman;Times;serif" w:hAnsi="Times New Roman;Times;serif"/>
          <w:sz w:val="20"/>
        </w:rPr>
      </w:pPr>
      <w:r>
        <w:rPr>
          <w:rFonts w:ascii="Times New Roman;Times;serif" w:hAnsi="Times New Roman;Times;serif"/>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lineRule="atLeast" w:line="230" w:before="241" w:after="0"/>
        <w:ind w:left="1440" w:right="0" w:hanging="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Mechanics of Exercise</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40" w:after="511"/>
        <w:ind w:left="216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sz w:val="20"/>
          <w:u w:val="single"/>
        </w:rPr>
        <w:t>DTC</w:t>
      </w:r>
      <w:r>
        <w:rPr>
          <w:rFonts w:ascii="Times New Roman;Times;serif" w:hAnsi="Times New Roman;Times;serif"/>
          <w:sz w:val="20"/>
        </w:rPr>
        <w:t>”)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sz w:val="20"/>
          <w:u w:val="single"/>
        </w:rPr>
        <w:t>Warrant Share Delivery Date</w:t>
      </w:r>
      <w:r>
        <w:rPr>
          <w:rFonts w:ascii="Times New Roman;Times;serif" w:hAnsi="Times New Roman;Times;serif"/>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511"/>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z w:val="20"/>
          <w:u w:val="single"/>
        </w:rPr>
        <w:t>Delivery of Pre-Funded Warrants Upon Exercise</w:t>
      </w:r>
      <w:r>
        <w:rPr>
          <w:rFonts w:ascii="Times New Roman;Times;serif" w:hAnsi="Times New Roman;Times;serif"/>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sz w:val="20"/>
          <w:u w:val="single"/>
        </w:rPr>
        <w:t>Pre-Funded Warrant Delivery Date</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sz w:val="22"/>
          <w:u w:val="single"/>
        </w:rPr>
        <w:t xml:space="preserve"> </w:t>
      </w:r>
    </w:p>
    <w:p>
      <w:pPr>
        <w:pStyle w:val="TextBody"/>
        <w:bidi w:val="0"/>
        <w:spacing w:lineRule="atLeast" w:line="230" w:before="240" w:after="0"/>
        <w:ind w:left="0" w:right="0" w:hanging="0"/>
        <w:jc w:val="both"/>
        <w:rPr>
          <w:rFonts w:ascii="Times New Roman;Times;serif" w:hAnsi="Times New Roman;Times;serif"/>
          <w:sz w:val="22"/>
        </w:rPr>
      </w:pPr>
      <w:r>
        <w:rPr>
          <w:rFonts w:ascii="Times New Roman;Times;serif" w:hAnsi="Times New Roman;Times;serif"/>
          <w:sz w:val="20"/>
        </w:rPr>
        <w:t>iii.</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iv.</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v.</w:t>
      </w:r>
      <w:r>
        <w:rPr>
          <w:rFonts w:ascii="Times New Roman;Times;serif" w:hAnsi="Times New Roman;Times;serif"/>
          <w:spacing w:val="-2"/>
          <w:sz w:val="20"/>
          <w:u w:val="single"/>
        </w:rPr>
        <w:t>Compensation for Buy-In on Failure to Timely Deliver Warrant Shares Upon Exercise</w:t>
      </w:r>
      <w:r>
        <w:rPr>
          <w:rFonts w:ascii="Times New Roman;Times;serif" w:hAnsi="Times New Roman;Times;serif"/>
          <w:spacing w:val="-2"/>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pacing w:val="-2"/>
          <w:sz w:val="20"/>
          <w:u w:val="single"/>
        </w:rPr>
        <w:t>Buy-In</w:t>
      </w:r>
      <w:r>
        <w:rPr>
          <w:rFonts w:ascii="Times New Roman;Times;serif" w:hAnsi="Times New Roman;Times;serif"/>
          <w:spacing w:val="-2"/>
          <w:sz w:val="22"/>
        </w:rPr>
        <w:t>”</w:t>
      </w:r>
      <w:r>
        <w:rPr>
          <w:rFonts w:ascii="Times New Roman;Times;serif" w:hAnsi="Times New Roman;Times;serif"/>
          <w:spacing w:val="-2"/>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w:t>
      </w:r>
    </w:p>
    <w:p>
      <w:pPr>
        <w:pStyle w:val="TextBody"/>
        <w:bidi w:val="0"/>
        <w:spacing w:before="0" w:after="531"/>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1440" w:right="0" w:hanging="0"/>
        <w:jc w:val="both"/>
        <w:rPr>
          <w:rFonts w:ascii="Times New Roman;Times;serif" w:hAnsi="Times New Roman;Times;serif"/>
          <w:sz w:val="20"/>
        </w:rPr>
      </w:pPr>
      <w:r>
        <w:rPr>
          <w:rFonts w:ascii="Times New Roman;Times;serif" w:hAnsi="Times New Roman;Times;serif"/>
          <w:sz w:val="20"/>
        </w:rPr>
        <w:t>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lineRule="atLeast" w:line="230" w:before="0" w:after="0"/>
        <w:ind w:left="1440" w:right="0" w:hanging="0"/>
        <w:jc w:val="both"/>
        <w:rPr>
          <w:rFonts w:ascii="Times New Roman;Times;serif" w:hAnsi="Times New Roman;Times;serif"/>
          <w:sz w:val="22"/>
        </w:rPr>
      </w:pPr>
      <w:r>
        <w:rPr>
          <w:rFonts w:ascii="Times New Roman;Times;serif" w:hAnsi="Times New Roman;Times;serif"/>
          <w:sz w:val="20"/>
        </w:rPr>
        <w:t>vi.</w:t>
      </w:r>
      <w:r>
        <w:rPr>
          <w:rFonts w:ascii="Times New Roman;Times;serif" w:hAnsi="Times New Roman;Times;serif"/>
          <w:sz w:val="20"/>
          <w:u w:val="single"/>
        </w:rPr>
        <w:t>No Fractional Shares or Scrip</w:t>
      </w:r>
      <w:r>
        <w:rPr>
          <w:rFonts w:ascii="Times New Roman;Times;serif" w:hAnsi="Times New Roman;Times;serif"/>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lineRule="atLeast" w:line="230" w:before="241" w:after="0"/>
        <w:ind w:left="1440" w:right="0" w:hanging="0"/>
        <w:jc w:val="both"/>
        <w:rPr>
          <w:rFonts w:ascii="Times New Roman;Times;serif" w:hAnsi="Times New Roman;Times;serif"/>
          <w:sz w:val="22"/>
        </w:rPr>
      </w:pPr>
      <w:r>
        <w:rPr>
          <w:rFonts w:ascii="Times New Roman;Times;serif" w:hAnsi="Times New Roman;Times;serif"/>
          <w:sz w:val="20"/>
        </w:rPr>
        <w:t>vii.</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sz w:val="20"/>
          <w:u w:val="single"/>
        </w:rPr>
        <w:t>Exhibit B</w:t>
      </w:r>
      <w:r>
        <w:rPr>
          <w:rFonts w:ascii="Times New Roman;Times;serif" w:hAnsi="Times New Roman;Times;serif"/>
          <w:sz w:val="22"/>
        </w:rPr>
        <w:t xml:space="preserve"> </w:t>
      </w:r>
      <w:r>
        <w:rPr>
          <w:rFonts w:ascii="Times New Roman;Times;serif" w:hAnsi="Times New Roman;Times;serif"/>
          <w:sz w:val="20"/>
        </w:rPr>
        <w:t>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lineRule="atLeast" w:line="230"/>
        <w:ind w:left="1440" w:right="0" w:hanging="0"/>
        <w:jc w:val="both"/>
        <w:rPr>
          <w:rFonts w:ascii="Times New Roman;Times;serif" w:hAnsi="Times New Roman;Times;serif"/>
          <w:sz w:val="22"/>
        </w:rPr>
      </w:pPr>
      <w:r>
        <w:rPr>
          <w:rFonts w:ascii="Times New Roman;Times;serif" w:hAnsi="Times New Roman;Times;serif"/>
          <w:sz w:val="20"/>
        </w:rPr>
        <w:t>0.</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spacing w:lineRule="atLeast" w:line="230" w:before="240" w:after="521"/>
        <w:ind w:left="0" w:right="0" w:firstLine="720"/>
        <w:jc w:val="both"/>
        <w:rPr>
          <w:rFonts w:ascii="Times New Roman;Times;serif" w:hAnsi="Times New Roman;Times;serif"/>
          <w:sz w:val="20"/>
        </w:rPr>
      </w:pPr>
      <w:r>
        <w:rPr>
          <w:rFonts w:ascii="Times New Roman;Times;serif" w:hAnsi="Times New Roman;Times;serif"/>
          <w:spacing w:val="-3"/>
          <w:sz w:val="20"/>
        </w:rPr>
        <w:t xml:space="preserve">e) </w:t>
      </w:r>
      <w:r>
        <w:rPr>
          <w:rFonts w:ascii="Times New Roman;Times;serif" w:hAnsi="Times New Roman;Times;serif"/>
          <w:spacing w:val="-3"/>
          <w:sz w:val="20"/>
          <w:u w:val="single"/>
        </w:rPr>
        <w:t>Holder’s Exercise Limitations</w:t>
      </w:r>
      <w:r>
        <w:rPr>
          <w:rFonts w:ascii="Times New Roman;Times;serif" w:hAnsi="Times New Roman;Times;serif"/>
          <w:spacing w:val="-3"/>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spacing w:val="-3"/>
          <w:sz w:val="20"/>
          <w:u w:val="single"/>
        </w:rPr>
        <w:t>Attribution Parties</w:t>
      </w:r>
      <w:r>
        <w:rPr>
          <w:rFonts w:ascii="Times New Roman;Times;serif" w:hAnsi="Times New Roman;Times;serif"/>
          <w:spacing w:val="-3"/>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w:t>
      </w:r>
    </w:p>
    <w:p>
      <w:pPr>
        <w:pStyle w:val="TextBody"/>
        <w:bidi w:val="0"/>
        <w:spacing w:before="0" w:after="521"/>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9" w:after="0"/>
        <w:ind w:left="0" w:right="0" w:hanging="0"/>
        <w:jc w:val="both"/>
        <w:rPr>
          <w:rFonts w:ascii="Times New Roman;Times;serif" w:hAnsi="Times New Roman;Times;serif"/>
          <w:spacing w:val="-2"/>
          <w:sz w:val="20"/>
        </w:rPr>
      </w:pPr>
      <w:r>
        <w:rPr>
          <w:rFonts w:ascii="Times New Roman;Times;serif" w:hAnsi="Times New Roman;Times;serif"/>
          <w:spacing w:val="-2"/>
          <w:sz w:val="20"/>
        </w:rPr>
        <w:t>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w:t>
      </w:r>
    </w:p>
    <w:p>
      <w:pPr>
        <w:pStyle w:val="TextBody"/>
        <w:bidi w:val="0"/>
        <w:spacing w:lineRule="atLeast" w:line="230" w:before="236" w:after="0"/>
        <w:ind w:left="0" w:right="0" w:firstLine="720"/>
        <w:jc w:val="both"/>
        <w:rPr>
          <w:rFonts w:ascii="Times New Roman;Times;serif" w:hAnsi="Times New Roman;Times;serif"/>
          <w:sz w:val="20"/>
        </w:rPr>
      </w:pPr>
      <w:r>
        <w:rPr>
          <w:rFonts w:ascii="Times New Roman;Times;serif" w:hAnsi="Times New Roman;Times;serif"/>
          <w:spacing w:val="1"/>
          <w:sz w:val="20"/>
        </w:rPr>
        <w:t>a) The “</w:t>
      </w:r>
      <w:r>
        <w:rPr>
          <w:rFonts w:ascii="Times New Roman;Times;serif" w:hAnsi="Times New Roman;Times;serif"/>
          <w:spacing w:val="1"/>
          <w:sz w:val="20"/>
          <w:u w:val="single"/>
        </w:rPr>
        <w:t>Beneficial Ownership Limitation</w:t>
      </w:r>
      <w:r>
        <w:rPr>
          <w:rFonts w:ascii="Times New Roman;Times;serif" w:hAnsi="Times New Roman;Times;serif"/>
          <w:spacing w:val="1"/>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spacing w:val="1"/>
          <w:sz w:val="15"/>
        </w:rPr>
        <w:t>st</w:t>
      </w:r>
      <w:r>
        <w:rPr>
          <w:rFonts w:ascii="Times New Roman;Times;serif" w:hAnsi="Times New Roman;Times;serif"/>
          <w:spacing w:val="1"/>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lineRule="atLeast" w:line="230" w:before="246" w:after="0"/>
        <w:ind w:left="0" w:right="0" w:hanging="0"/>
        <w:jc w:val="left"/>
        <w:rPr>
          <w:rFonts w:ascii="Times New Roman;Times;serif" w:hAnsi="Times New Roman;Times;serif"/>
          <w:sz w:val="20"/>
        </w:rPr>
      </w:pPr>
      <w:r>
        <w:rPr>
          <w:rFonts w:ascii="Times New Roman;Times;serif" w:hAnsi="Times New Roman;Times;serif"/>
          <w:sz w:val="20"/>
          <w:u w:val="single"/>
        </w:rPr>
        <w:t>Section 3. Certain Adjustments</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37" w:after="0"/>
        <w:ind w:left="0" w:right="0" w:firstLine="720"/>
        <w:jc w:val="both"/>
        <w:rPr>
          <w:rFonts w:ascii="Times New Roman;Times;serif" w:hAnsi="Times New Roman;Times;serif"/>
          <w:sz w:val="20"/>
        </w:rPr>
      </w:pPr>
      <w:r>
        <w:rPr>
          <w:rFonts w:ascii="Times New Roman;Times;serif" w:hAnsi="Times New Roman;Times;serif"/>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spacing w:lineRule="atLeast" w:line="230" w:before="240" w:after="521"/>
        <w:ind w:left="1440" w:right="0" w:firstLine="720"/>
        <w:jc w:val="both"/>
        <w:rPr>
          <w:rFonts w:ascii="Times New Roman;Times;serif" w:hAnsi="Times New Roman;Times;serif"/>
          <w:sz w:val="20"/>
        </w:rPr>
      </w:pPr>
      <w:r>
        <w:rPr>
          <w:rFonts w:ascii="Times New Roman;Times;serif" w:hAnsi="Times New Roman;Times;serif"/>
          <w:spacing w:val="-1"/>
          <w:sz w:val="20"/>
        </w:rPr>
        <w:t xml:space="preserve">i. </w:t>
      </w:r>
      <w:r>
        <w:rPr>
          <w:rFonts w:ascii="Times New Roman;Times;serif" w:hAnsi="Times New Roman;Times;serif"/>
          <w:spacing w:val="-1"/>
          <w:sz w:val="20"/>
          <w:u w:val="single"/>
        </w:rPr>
        <w:t>Stock Dividends and Splits</w:t>
      </w:r>
      <w:r>
        <w:rPr>
          <w:rFonts w:ascii="Times New Roman;Times;serif" w:hAnsi="Times New Roman;Times;serif"/>
          <w:spacing w:val="-1"/>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w:t>
      </w:r>
    </w:p>
    <w:p>
      <w:pPr>
        <w:pStyle w:val="TextBody"/>
        <w:bidi w:val="0"/>
        <w:spacing w:before="0" w:after="521"/>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0" w:right="0" w:hanging="0"/>
        <w:jc w:val="both"/>
        <w:rPr>
          <w:rFonts w:ascii="Times New Roman;Times;serif" w:hAnsi="Times New Roman;Times;serif"/>
          <w:sz w:val="20"/>
        </w:rPr>
      </w:pPr>
      <w:r>
        <w:rPr>
          <w:rFonts w:ascii="Times New Roman;Times;serif" w:hAnsi="Times New Roman;Times;serif"/>
          <w:sz w:val="20"/>
        </w:rPr>
        <w:t>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pacing w:val="-1"/>
          <w:sz w:val="20"/>
          <w:u w:val="single"/>
        </w:rPr>
        <w:t>Subsequent Rights Offerings</w:t>
      </w:r>
      <w:r>
        <w:rPr>
          <w:rFonts w:ascii="Times New Roman;Times;serif" w:hAnsi="Times New Roman;Times;serif"/>
          <w:spacing w:val="-1"/>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pacing w:val="-1"/>
          <w:sz w:val="20"/>
          <w:u w:val="single"/>
        </w:rPr>
        <w:t>Purchase Rights</w:t>
      </w:r>
      <w:r>
        <w:rPr>
          <w:rFonts w:ascii="Times New Roman;Times;serif" w:hAnsi="Times New Roman;Times;serif"/>
          <w:spacing w:val="-1"/>
          <w:sz w:val="22"/>
        </w:rPr>
        <w:t>”</w:t>
      </w:r>
      <w:r>
        <w:rPr>
          <w:rFonts w:ascii="Times New Roman;Times;serif" w:hAnsi="Times New Roman;Times;serif"/>
          <w:spacing w:val="-1"/>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pacing w:val="-1"/>
          <w:sz w:val="20"/>
          <w:u w:val="single"/>
        </w:rPr>
        <w:t>provided</w:t>
      </w:r>
      <w:r>
        <w:rPr>
          <w:rFonts w:ascii="Times New Roman;Times;serif" w:hAnsi="Times New Roman;Times;serif"/>
          <w:spacing w:val="-1"/>
          <w:sz w:val="20"/>
        </w:rPr>
        <w:t xml:space="preserve">, </w:t>
      </w:r>
      <w:r>
        <w:rPr>
          <w:rFonts w:ascii="Times New Roman;Times;serif" w:hAnsi="Times New Roman;Times;serif"/>
          <w:spacing w:val="-1"/>
          <w:sz w:val="20"/>
          <w:u w:val="single"/>
        </w:rPr>
        <w:t>however</w:t>
      </w:r>
      <w:r>
        <w:rPr>
          <w:rFonts w:ascii="Times New Roman;Times;serif" w:hAnsi="Times New Roman;Times;serif"/>
          <w:spacing w:val="-1"/>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iii.</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2"/>
        </w:rPr>
        <w:t>”</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lineRule="atLeast" w:line="230" w:before="243" w:after="283"/>
        <w:ind w:left="0" w:right="0" w:hanging="0"/>
        <w:jc w:val="both"/>
        <w:rPr>
          <w:rFonts w:ascii="Times New Roman;Times;serif" w:hAnsi="Times New Roman;Times;serif"/>
          <w:sz w:val="22"/>
        </w:rPr>
      </w:pPr>
      <w:r>
        <w:rPr>
          <w:rFonts w:ascii="Times New Roman;Times;serif" w:hAnsi="Times New Roman;Times;serif"/>
          <w:sz w:val="20"/>
        </w:rPr>
        <w:t>iv.</w:t>
      </w:r>
      <w:r>
        <w:rPr>
          <w:rFonts w:ascii="Times New Roman;Times;serif" w:hAnsi="Times New Roman;Times;serif"/>
          <w:spacing w:val="-2"/>
          <w:sz w:val="20"/>
          <w:u w:val="single"/>
        </w:rPr>
        <w:t>Fundamental Transaction</w:t>
      </w:r>
      <w:r>
        <w:rPr>
          <w:rFonts w:ascii="Times New Roman;Times;serif" w:hAnsi="Times New Roman;Times;serif"/>
          <w:spacing w:val="-2"/>
          <w:sz w:val="20"/>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w:t>
      </w:r>
    </w:p>
    <w:p>
      <w:pPr>
        <w:pStyle w:val="TextBody"/>
        <w:bidi w:val="0"/>
        <w:spacing w:before="0" w:after="531"/>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4" w:after="565"/>
        <w:ind w:left="0" w:right="0" w:hanging="0"/>
        <w:jc w:val="both"/>
        <w:rPr>
          <w:rFonts w:ascii="Times New Roman;Times;serif" w:hAnsi="Times New Roman;Times;serif"/>
          <w:sz w:val="20"/>
        </w:rPr>
      </w:pPr>
      <w:r>
        <w:rPr>
          <w:rFonts w:ascii="Times New Roman;Times;serif" w:hAnsi="Times New Roman;Times;serif"/>
          <w:spacing w:val="-2"/>
          <w:sz w:val="20"/>
        </w:rPr>
        <w:t>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spacing w:val="-2"/>
          <w:sz w:val="20"/>
          <w:u w:val="single"/>
        </w:rPr>
        <w:t>Fundamental Transaction</w:t>
      </w:r>
      <w:r>
        <w:rPr>
          <w:rFonts w:ascii="Times New Roman;Times;serif" w:hAnsi="Times New Roman;Times;serif"/>
          <w:spacing w:val="-2"/>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pacing w:val="-2"/>
          <w:sz w:val="20"/>
          <w:u w:val="single"/>
        </w:rPr>
        <w:t>Alternate Consideration</w:t>
      </w:r>
      <w:r>
        <w:rPr>
          <w:rFonts w:ascii="Times New Roman;Times;serif" w:hAnsi="Times New Roman;Times;serif"/>
          <w:spacing w:val="-2"/>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w:t>
      </w:r>
    </w:p>
    <w:p>
      <w:pPr>
        <w:pStyle w:val="TextBody"/>
        <w:bidi w:val="0"/>
        <w:spacing w:before="0" w:after="565"/>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5" w:after="564"/>
        <w:ind w:left="0" w:right="0" w:hanging="0"/>
        <w:jc w:val="both"/>
        <w:rPr>
          <w:rFonts w:ascii="Times New Roman;Times;serif" w:hAnsi="Times New Roman;Times;serif"/>
          <w:sz w:val="20"/>
        </w:rPr>
      </w:pPr>
      <w:r>
        <w:rPr>
          <w:rFonts w:ascii="Times New Roman;Times;serif" w:hAnsi="Times New Roman;Times;serif"/>
          <w:spacing w:val="-2"/>
          <w:sz w:val="20"/>
        </w:rPr>
        <w:t>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spacing w:val="-2"/>
          <w:sz w:val="20"/>
          <w:u w:val="single"/>
        </w:rPr>
        <w:t>Black Scholes Value</w:t>
      </w:r>
      <w:r>
        <w:rPr>
          <w:rFonts w:ascii="Times New Roman;Times;serif" w:hAnsi="Times New Roman;Times;serif"/>
          <w:spacing w:val="-2"/>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spacing w:val="-2"/>
          <w:sz w:val="20"/>
          <w:u w:val="single"/>
        </w:rPr>
        <w:t>Successor Entity</w:t>
      </w:r>
      <w:r>
        <w:rPr>
          <w:rFonts w:ascii="Times New Roman;Times;serif" w:hAnsi="Times New Roman;Times;serif"/>
          <w:spacing w:val="-2"/>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before="0" w:after="564"/>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pacing w:val="-16"/>
          <w:sz w:val="20"/>
        </w:rPr>
      </w:pPr>
      <w:r>
        <w:rPr>
          <w:rFonts w:ascii="Times New Roman;Times;serif" w:hAnsi="Times New Roman;Times;serif"/>
          <w:spacing w:val="-16"/>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lineRule="atLeast" w:line="230" w:before="242" w:after="0"/>
        <w:ind w:left="720" w:right="0" w:hanging="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Notice to Holder</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0" w:after="0"/>
        <w:ind w:left="144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Adjustment to Exercise Price</w:t>
      </w:r>
      <w:r>
        <w:rPr>
          <w:rFonts w:ascii="Times New Roman;Times;serif" w:hAnsi="Times New Roman;Times;serif"/>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w:t>
      </w:r>
    </w:p>
    <w:p>
      <w:pPr>
        <w:pStyle w:val="TextBody"/>
        <w:bidi w:val="0"/>
        <w:spacing w:lineRule="atLeast" w:line="230" w:before="238" w:after="283"/>
        <w:ind w:left="144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z w:val="20"/>
          <w:u w:val="single"/>
        </w:rPr>
        <w:t>Notice to Allow Exercise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sz w:val="20"/>
          <w:u w:val="single"/>
        </w:rPr>
        <w:t>provided</w:t>
      </w:r>
      <w:r>
        <w:rPr>
          <w:rFonts w:ascii="Times New Roman;Times;serif" w:hAnsi="Times New Roman;Times;serif"/>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tLeast" w:line="230" w:before="244" w:after="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Certain Events</w:t>
      </w:r>
      <w:r>
        <w:rPr>
          <w:rFonts w:ascii="Times New Roman;Times;serif" w:hAnsi="Times New Roman;Times;serif"/>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lineRule="atLeast" w:line="230" w:before="241" w:after="510"/>
        <w:ind w:left="0" w:right="0" w:hanging="0"/>
        <w:jc w:val="left"/>
        <w:rPr>
          <w:rFonts w:ascii="Times New Roman;Times;serif" w:hAnsi="Times New Roman;Times;serif"/>
          <w:sz w:val="20"/>
        </w:rPr>
      </w:pPr>
      <w:r>
        <w:rPr>
          <w:rFonts w:ascii="Times New Roman;Times;serif" w:hAnsi="Times New Roman;Times;serif"/>
          <w:sz w:val="20"/>
          <w:u w:val="single"/>
        </w:rPr>
        <w:t>Section 4. Transfer of Warrant</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pacing w:val="-2"/>
          <w:sz w:val="20"/>
          <w:u w:val="single"/>
        </w:rPr>
        <w:t>Transferability</w:t>
      </w:r>
      <w:r>
        <w:rPr>
          <w:rFonts w:ascii="Times New Roman;Times;serif" w:hAnsi="Times New Roman;Times;serif"/>
          <w:spacing w:val="-2"/>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w:t>
      </w:r>
    </w:p>
    <w:p>
      <w:pPr>
        <w:pStyle w:val="TextBody"/>
        <w:bidi w:val="0"/>
        <w:spacing w:lineRule="atLeast" w:line="230" w:before="238" w:after="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pacing w:val="-2"/>
          <w:sz w:val="20"/>
          <w:u w:val="single"/>
        </w:rPr>
        <w:t>New Warrants.</w:t>
      </w:r>
      <w:r>
        <w:rPr>
          <w:rFonts w:ascii="Times New Roman;Times;serif" w:hAnsi="Times New Roman;Times;serif"/>
          <w:spacing w:val="-2"/>
          <w:sz w:val="22"/>
        </w:rPr>
        <w:t xml:space="preserve"> </w:t>
      </w:r>
      <w:r>
        <w:rPr>
          <w:rFonts w:ascii="Times New Roman;Times;serif" w:hAnsi="Times New Roman;Times;serif"/>
          <w:spacing w:val="-2"/>
          <w:sz w:val="20"/>
        </w:rPr>
        <w:t>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w:t>
      </w:r>
    </w:p>
    <w:p>
      <w:pPr>
        <w:pStyle w:val="TextBody"/>
        <w:bidi w:val="0"/>
        <w:spacing w:lineRule="atLeast" w:line="230" w:before="242" w:after="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Warrant Register</w:t>
      </w:r>
      <w:r>
        <w:rPr>
          <w:rFonts w:ascii="Times New Roman;Times;serif" w:hAnsi="Times New Roman;Times;serif"/>
          <w:sz w:val="20"/>
        </w:rPr>
        <w:t>. The Warrant Agent shall register this Warrant, upon records to be maintained by the Warrant Agent for that purpose (the “</w:t>
      </w:r>
      <w:r>
        <w:rPr>
          <w:rFonts w:ascii="Times New Roman;Times;serif" w:hAnsi="Times New Roman;Times;serif"/>
          <w:sz w:val="20"/>
          <w:u w:val="single"/>
        </w:rPr>
        <w:t>Warrant Register</w:t>
      </w:r>
      <w:r>
        <w:rPr>
          <w:rFonts w:ascii="Times New Roman;Times;serif" w:hAnsi="Times New Roman;Times;serif"/>
          <w:sz w:val="22"/>
        </w:rPr>
        <w:t>”</w:t>
      </w:r>
      <w:r>
        <w:rPr>
          <w:rFonts w:ascii="Times New Roman;Times;serif" w:hAnsi="Times New Roman;Times;serif"/>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tLeast" w:line="230" w:before="240" w:after="0"/>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lineRule="atLeast" w:line="230" w:before="237" w:after="283"/>
        <w:ind w:left="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pacing w:val="1"/>
          <w:sz w:val="20"/>
          <w:u w:val="single"/>
        </w:rPr>
        <w:t>Representation by the Holder</w:t>
      </w:r>
      <w:r>
        <w:rPr>
          <w:rFonts w:ascii="Times New Roman;Times;serif" w:hAnsi="Times New Roman;Times;serif"/>
          <w:spacing w:val="1"/>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lineRule="atLeast" w:line="230" w:before="243" w:after="0"/>
        <w:ind w:left="0" w:right="0" w:hanging="0"/>
        <w:jc w:val="left"/>
        <w:rPr>
          <w:rFonts w:ascii="Times New Roman;Times;serif" w:hAnsi="Times New Roman;Times;serif"/>
          <w:sz w:val="20"/>
        </w:rPr>
      </w:pPr>
      <w:r>
        <w:rPr>
          <w:rFonts w:ascii="Times New Roman;Times;serif" w:hAnsi="Times New Roman;Times;serif"/>
          <w:sz w:val="20"/>
          <w:u w:val="single"/>
        </w:rPr>
        <w:t>Section 5. Miscellaneous</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39" w:after="963"/>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Rights as Stockholder Until Exercise</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963"/>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72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lineRule="atLeast" w:line="230" w:before="237" w:after="0"/>
        <w:ind w:left="72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lineRule="atLeast" w:line="230" w:before="240" w:after="283"/>
        <w:ind w:left="72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Authorized Shares</w:t>
      </w:r>
      <w:r>
        <w:rPr>
          <w:rFonts w:ascii="Times New Roman;Times;serif" w:hAnsi="Times New Roman;Times;serif"/>
          <w:sz w:val="20"/>
        </w:rPr>
        <w:t>.</w:t>
      </w:r>
      <w:r>
        <w:rPr>
          <w:rFonts w:ascii="Times New Roman;Times;serif" w:hAnsi="Times New Roman;Times;serif"/>
          <w:sz w:val="22"/>
          <w:u w:val="single"/>
        </w:rPr>
        <w:t xml:space="preserve"> </w:t>
      </w:r>
    </w:p>
    <w:p>
      <w:pPr>
        <w:pStyle w:val="TextBody"/>
        <w:bidi w:val="0"/>
        <w:spacing w:lineRule="atLeast" w:line="230" w:before="241" w:after="0"/>
        <w:ind w:left="0" w:right="0" w:firstLine="720"/>
        <w:jc w:val="both"/>
        <w:rPr>
          <w:rFonts w:ascii="Times New Roman;Times;serif" w:hAnsi="Times New Roman;Times;serif"/>
          <w:sz w:val="20"/>
        </w:rPr>
      </w:pPr>
      <w:r>
        <w:rPr>
          <w:rFonts w:ascii="Times New Roman;Times;serif" w:hAnsi="Times New Roman;Times;serif"/>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tLeast" w:line="230" w:before="240" w:after="0"/>
        <w:ind w:left="0" w:right="0" w:firstLine="720"/>
        <w:jc w:val="both"/>
        <w:rPr>
          <w:rFonts w:ascii="Times New Roman;Times;serif" w:hAnsi="Times New Roman;Times;serif"/>
          <w:sz w:val="20"/>
        </w:rPr>
      </w:pPr>
      <w:r>
        <w:rPr>
          <w:rFonts w:ascii="Times New Roman;Times;serif" w:hAnsi="Times New Roman;Times;serif"/>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tLeast" w:line="230" w:before="236" w:after="0"/>
        <w:ind w:left="0" w:right="0" w:firstLine="720"/>
        <w:jc w:val="both"/>
        <w:rPr>
          <w:rFonts w:ascii="Times New Roman;Times;serif" w:hAnsi="Times New Roman;Times;serif"/>
          <w:sz w:val="20"/>
        </w:rPr>
      </w:pPr>
      <w:r>
        <w:rPr>
          <w:rFonts w:ascii="Times New Roman;Times;serif" w:hAnsi="Times New Roman;Times;serif"/>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tLeast" w:line="230"/>
        <w:ind w:left="72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pacing w:val="-2"/>
          <w:sz w:val="20"/>
          <w:u w:val="single"/>
        </w:rPr>
        <w:t>Governing Law</w:t>
      </w:r>
      <w:r>
        <w:rPr>
          <w:rFonts w:ascii="Times New Roman;Times;serif" w:hAnsi="Times New Roman;Times;serif"/>
          <w:spacing w:val="-2"/>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w:t>
      </w:r>
    </w:p>
    <w:p>
      <w:pPr>
        <w:pStyle w:val="TextBody"/>
        <w:bidi w:val="0"/>
        <w:spacing w:before="0" w:after="501"/>
        <w:ind w:left="0" w:right="0" w:hanging="0"/>
        <w:jc w:val="left"/>
        <w:rPr/>
      </w:pPr>
      <w:r>
        <w:rPr/>
        <w:t>​</w:t>
      </w:r>
    </w:p>
    <w:p>
      <w:pPr>
        <w:pStyle w:val="TextBody"/>
        <w:bidi w:val="0"/>
        <w:spacing w:lineRule="atLeast" w:line="228"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6" w:after="0"/>
        <w:ind w:left="0" w:right="0" w:hanging="0"/>
        <w:jc w:val="both"/>
        <w:rPr>
          <w:rFonts w:ascii="Times New Roman;Times;serif" w:hAnsi="Times New Roman;Times;serif"/>
          <w:sz w:val="20"/>
        </w:rPr>
      </w:pPr>
      <w:r>
        <w:rPr>
          <w:rFonts w:ascii="Times New Roman;Times;serif" w:hAnsi="Times New Roman;Times;serif"/>
          <w:sz w:val="20"/>
        </w:rPr>
        <w:t>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f)</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g)</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tLeast" w:line="230" w:before="237" w:after="0"/>
        <w:ind w:left="0" w:right="0" w:hanging="0"/>
        <w:jc w:val="both"/>
        <w:rPr>
          <w:rFonts w:ascii="Times New Roman;Times;serif" w:hAnsi="Times New Roman;Times;serif"/>
          <w:sz w:val="22"/>
        </w:rPr>
      </w:pPr>
      <w:r>
        <w:rPr>
          <w:rFonts w:ascii="Times New Roman;Times;serif" w:hAnsi="Times New Roman;Times;serif"/>
          <w:sz w:val="20"/>
        </w:rPr>
        <w:t>h)</w:t>
      </w:r>
      <w:r>
        <w:rPr>
          <w:rFonts w:ascii="Times New Roman;Times;serif" w:hAnsi="Times New Roman;Times;serif"/>
          <w:spacing w:val="-2"/>
          <w:sz w:val="20"/>
          <w:u w:val="single"/>
        </w:rPr>
        <w:t>Notices</w:t>
      </w:r>
      <w:r>
        <w:rPr>
          <w:rFonts w:ascii="Times New Roman;Times;serif" w:hAnsi="Times New Roman;Times;serif"/>
          <w:spacing w:val="-2"/>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John Bencich, e-mail address: [***]</w:t>
      </w:r>
      <w:r>
        <w:rPr>
          <w:rFonts w:ascii="Times New Roman;Times;serif" w:hAnsi="Times New Roman;Times;serif"/>
          <w:color w:val="0000FF"/>
          <w:spacing w:val="-2"/>
          <w:sz w:val="20"/>
          <w:u w:val="single"/>
        </w:rPr>
        <w:t>,</w:t>
      </w:r>
      <w:r>
        <w:rPr>
          <w:rFonts w:ascii="Times New Roman;Times;serif" w:hAnsi="Times New Roman;Times;serif"/>
          <w:spacing w:val="-2"/>
          <w:sz w:val="22"/>
        </w:rPr>
        <w:t xml:space="preserve"> </w:t>
      </w:r>
      <w:r>
        <w:rPr>
          <w:rFonts w:ascii="Times New Roman;Times;serif" w:hAnsi="Times New Roman;Times;serif"/>
          <w:spacing w:val="-2"/>
          <w:sz w:val="20"/>
        </w:rPr>
        <w:t>or such other e-mail address or address as the Company may specify for such purposes by notice to the Holders; and addressed to the Warrant Agent, at 1 State Street 30</w:t>
      </w:r>
      <w:r>
        <w:rPr>
          <w:rFonts w:ascii="Times New Roman;Times;serif" w:hAnsi="Times New Roman;Times;serif"/>
          <w:spacing w:val="-2"/>
          <w:sz w:val="15"/>
        </w:rPr>
        <w:t>th</w:t>
      </w:r>
      <w:r>
        <w:rPr>
          <w:rFonts w:ascii="Times New Roman;Times;serif" w:hAnsi="Times New Roman;Times;serif"/>
          <w:spacing w:val="-2"/>
          <w:sz w:val="22"/>
        </w:rPr>
        <w:t xml:space="preserve"> </w:t>
      </w:r>
      <w:r>
        <w:rPr>
          <w:rFonts w:ascii="Times New Roman;Times;serif" w:hAnsi="Times New Roman;Times;serif"/>
          <w:spacing w:val="-2"/>
          <w:sz w:val="20"/>
        </w:rPr>
        <w:t>Floor, New York, NY 10004, Attention: Henry Farrell, email address:</w:t>
      </w:r>
      <w:r>
        <w:rPr>
          <w:rFonts w:ascii="Times New Roman;Times;serif" w:hAnsi="Times New Roman;Times;serif"/>
          <w:color w:val="0000FF"/>
          <w:spacing w:val="-2"/>
          <w:sz w:val="22"/>
          <w:u w:val="single"/>
        </w:rPr>
        <w:t xml:space="preserve"> </w:t>
      </w:r>
      <w:r>
        <w:rPr>
          <w:rFonts w:ascii="Times New Roman;Times;serif" w:hAnsi="Times New Roman;Times;serif"/>
          <w:color w:val="0000FF"/>
          <w:spacing w:val="-2"/>
          <w:sz w:val="20"/>
          <w:u w:val="single"/>
        </w:rPr>
        <w:t>hfarrell@continentalstock.com</w:t>
      </w:r>
      <w:r>
        <w:rPr>
          <w:rFonts w:ascii="Times New Roman;Times;serif" w:hAnsi="Times New Roman;Times;serif"/>
          <w:color w:val="0000FF"/>
          <w:spacing w:val="-2"/>
          <w:sz w:val="22"/>
          <w:u w:val="single"/>
        </w:rPr>
        <w:t xml:space="preserve"> </w:t>
      </w:r>
      <w:r>
        <w:rPr>
          <w:rFonts w:ascii="Times New Roman;Times;serif" w:hAnsi="Times New Roman;Times;serif"/>
          <w:spacing w:val="-2"/>
          <w:sz w:val="20"/>
        </w:rPr>
        <w:t>or such other e-mail address or address as the Warrant Agent may specify for such purposes by notice to the Holders. Any and all notices or other communications or deliveries to be provided by the Company hereunder shall be in writing and delivered personally, by e</w:t>
        <w:softHyphen/>
        <w:t>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tLeast" w:line="230" w:before="242" w:after="0"/>
        <w:ind w:left="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j)</w:t>
      </w:r>
      <w:r>
        <w:rPr>
          <w:rFonts w:ascii="Times New Roman;Times;serif" w:hAnsi="Times New Roman;Times;serif"/>
          <w:spacing w:val="-3"/>
          <w:sz w:val="20"/>
          <w:u w:val="single"/>
        </w:rPr>
        <w:t>Remedies</w:t>
      </w:r>
      <w:r>
        <w:rPr>
          <w:rFonts w:ascii="Times New Roman;Times;serif" w:hAnsi="Times New Roman;Times;serif"/>
          <w:spacing w:val="-3"/>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w:t>
      </w:r>
    </w:p>
    <w:p>
      <w:pPr>
        <w:pStyle w:val="TextBody"/>
        <w:bidi w:val="0"/>
        <w:spacing w:before="0" w:after="742"/>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1" w:before="6" w:after="0"/>
        <w:ind w:left="0" w:right="0" w:hanging="0"/>
        <w:jc w:val="both"/>
        <w:rPr>
          <w:rFonts w:ascii="Times New Roman;Times;serif" w:hAnsi="Times New Roman;Times;serif"/>
          <w:sz w:val="20"/>
        </w:rPr>
      </w:pPr>
      <w:r>
        <w:rPr>
          <w:rFonts w:ascii="Times New Roman;Times;serif" w:hAnsi="Times New Roman;Times;serif"/>
          <w:sz w:val="20"/>
        </w:rPr>
        <w:t>breach by it of the provisions of this Warrant and hereby agrees to waive and not to assert the defense in any action for specific performance that a remedy at law would be adequate.</w:t>
      </w:r>
    </w:p>
    <w:p>
      <w:pPr>
        <w:pStyle w:val="TextBody"/>
        <w:bidi w:val="0"/>
        <w:spacing w:lineRule="atLeast" w:line="229" w:before="0" w:after="0"/>
        <w:ind w:left="0" w:right="0" w:hanging="0"/>
        <w:jc w:val="both"/>
        <w:rPr>
          <w:rFonts w:ascii="Times New Roman;Times;serif" w:hAnsi="Times New Roman;Times;serif"/>
          <w:sz w:val="22"/>
        </w:rPr>
      </w:pPr>
      <w:r>
        <w:rPr>
          <w:rFonts w:ascii="Times New Roman;Times;serif" w:hAnsi="Times New Roman;Times;serif"/>
          <w:sz w:val="20"/>
        </w:rPr>
        <w:t>0)</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lineRule="atLeast" w:line="229" w:before="250" w:after="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z w:val="20"/>
          <w:u w:val="single"/>
        </w:rPr>
        <w:t>Amendment</w:t>
      </w:r>
      <w:r>
        <w:rPr>
          <w:rFonts w:ascii="Times New Roman;Times;serif" w:hAnsi="Times New Roman;Times;serif"/>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lineRule="atLeast" w:line="229" w:before="242" w:after="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tLeast" w:line="226" w:before="249" w:after="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spacing w:lineRule="atLeast" w:line="230" w:before="241" w:after="283"/>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Warrant Agency Agreement</w:t>
      </w:r>
      <w:r>
        <w:rPr>
          <w:rFonts w:ascii="Times New Roman;Times;serif" w:hAnsi="Times New Roman;Times;serif"/>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bidi w:val="0"/>
        <w:spacing w:lineRule="atLeast" w:line="461" w:before="10" w:after="5790"/>
        <w:ind w:left="2952" w:right="0" w:hanging="0"/>
        <w:jc w:val="left"/>
        <w:rPr>
          <w:rFonts w:ascii="Times New Roman;Times;serif" w:hAnsi="Times New Roman;Times;serif"/>
          <w:sz w:val="20"/>
        </w:rPr>
      </w:pPr>
      <w:r>
        <w:rPr>
          <w:rFonts w:ascii="Times New Roman;Times;serif" w:hAnsi="Times New Roman;Times;serif"/>
          <w:sz w:val="20"/>
        </w:rPr>
        <w:t xml:space="preserve">******************** </w:t>
        <w:br/>
      </w:r>
      <w:r>
        <w:rPr>
          <w:rFonts w:ascii="Times New Roman;Times;serif" w:hAnsi="Times New Roman;Times;serif"/>
          <w:i/>
          <w:sz w:val="20"/>
        </w:rPr>
        <w:t>(Signature Page Follows)</w:t>
      </w:r>
    </w:p>
    <w:p>
      <w:pPr>
        <w:pStyle w:val="TextBody"/>
        <w:bidi w:val="0"/>
        <w:spacing w:before="0" w:after="5790"/>
        <w:ind w:left="0" w:right="0" w:hanging="0"/>
        <w:jc w:val="left"/>
        <w:rPr/>
      </w:pPr>
      <w:r>
        <w:rPr/>
        <w:t>​</w:t>
      </w:r>
    </w:p>
    <w:p>
      <w:pPr>
        <w:pStyle w:val="TextBody"/>
        <w:bidi w:val="0"/>
        <w:spacing w:lineRule="atLeast" w:line="224"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6" w:after="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p>
      <w:pPr>
        <w:pStyle w:val="TextBody"/>
        <w:bidi w:val="0"/>
        <w:spacing w:lineRule="atLeast" w:line="220" w:before="734" w:after="0"/>
        <w:ind w:left="5112" w:right="0" w:hanging="0"/>
        <w:jc w:val="left"/>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tLeast" w:line="217"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26">
            <wp:simplePos x="0" y="0"/>
            <wp:positionH relativeFrom="page">
              <wp:posOffset>0</wp:posOffset>
            </wp:positionH>
            <wp:positionV relativeFrom="line">
              <wp:posOffset>635</wp:posOffset>
            </wp:positionV>
            <wp:extent cx="720090" cy="219075"/>
            <wp:effectExtent l="0" t="0" r="0" b="0"/>
            <wp:wrapNone/>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16</w:t>
      </w:r>
    </w:p>
    <w:p>
      <w:pPr>
        <w:pStyle w:val="TextBody"/>
        <w:pBdr/>
        <w:bidi w:val="0"/>
        <w:spacing w:lineRule="atLeast" w:line="230" w:before="492" w:after="0"/>
        <w:ind w:left="5112" w:right="0" w:hanging="288"/>
        <w:jc w:val="left"/>
        <w:rPr>
          <w:rFonts w:ascii="Times New Roman;Times;serif" w:hAnsi="Times New Roman;Times;serif"/>
          <w:sz w:val="20"/>
        </w:rPr>
      </w:pPr>
      <w:r>
        <w:rPr>
          <w:rFonts w:ascii="Times New Roman;Times;serif" w:hAnsi="Times New Roman;Times;serif"/>
          <w:sz w:val="20"/>
        </w:rPr>
        <w:t xml:space="preserve">By: </w:t>
        <w:br/>
        <w:t xml:space="preserve">Name: </w:t>
        <w:br/>
        <w:t>Title: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25" w:before="13" w:after="0"/>
        <w:ind w:left="7920" w:right="0" w:hanging="0"/>
        <w:jc w:val="left"/>
        <w:rPr>
          <w:rFonts w:ascii="Times New Roman;Times;serif" w:hAnsi="Times New Roman;Times;serif"/>
          <w:b/>
          <w:sz w:val="20"/>
        </w:rPr>
      </w:pPr>
      <w:r>
        <w:rPr>
          <w:rFonts w:ascii="Times New Roman;Times;serif" w:hAnsi="Times New Roman;Times;serif"/>
          <w:b/>
          <w:sz w:val="20"/>
        </w:rPr>
        <w:t>EXHIBIT A</w:t>
      </w:r>
    </w:p>
    <w:p>
      <w:pPr>
        <w:pStyle w:val="TextBody"/>
        <w:bidi w:val="0"/>
        <w:spacing w:lineRule="atLeast" w:line="225" w:before="375" w:after="0"/>
        <w:ind w:left="0" w:right="0" w:hanging="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spacing w:lineRule="atLeast" w:line="223" w:before="236"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AEON BIOPHARMA, INC.</w:t>
      </w:r>
    </w:p>
    <w:p>
      <w:pPr>
        <w:pStyle w:val="TextBody"/>
        <w:bidi w:val="0"/>
        <w:spacing w:lineRule="atLeast" w:line="228" w:before="0" w:after="0"/>
        <w:ind w:left="0" w:right="0" w:hanging="0"/>
        <w:jc w:val="both"/>
        <w:rPr>
          <w:rFonts w:ascii="Times New Roman;Times;serif" w:hAnsi="Times New Roman;Times;serif"/>
          <w:sz w:val="20"/>
        </w:rPr>
      </w:pPr>
      <w:r>
        <w:rPr>
          <w:rFonts w:ascii="Times New Roman;Times;serif" w:hAnsi="Times New Roman;Times;serif"/>
          <w:sz w:val="20"/>
        </w:rPr>
        <w:t xml:space="preserve">(1)The undersigned hereby elects to purchase[Warrant Shares][Pre-Funded Warrants] </w:t>
        <w:br/>
        <w:t>of the Company pursuant to the terms of the attached Warrant (only if exercised in full), and tenders herewith payment of the exercise price in full, together with all applicable transfer taxes, if any.</w:t>
      </w:r>
    </w:p>
    <w:p>
      <w:pPr>
        <w:pStyle w:val="TextBody"/>
        <w:bidi w:val="0"/>
        <w:spacing w:lineRule="atLeast" w:line="223" w:before="492" w:after="283"/>
        <w:ind w:left="0" w:right="0" w:hanging="0"/>
        <w:jc w:val="both"/>
        <w:rPr>
          <w:rFonts w:ascii="Times New Roman;Times;serif" w:hAnsi="Times New Roman;Times;serif"/>
          <w:sz w:val="20"/>
        </w:rPr>
      </w:pPr>
      <w:r>
        <w:rPr>
          <w:rFonts w:ascii="Times New Roman;Times;serif" w:hAnsi="Times New Roman;Times;serif"/>
          <w:sz w:val="20"/>
        </w:rPr>
        <w:t>(2)Payment shall take the form of (check applicable box):</w:t>
      </w:r>
    </w:p>
    <w:p>
      <w:pPr>
        <w:pStyle w:val="TextBody"/>
        <w:bidi w:val="0"/>
        <w:spacing w:lineRule="atLeast" w:line="273" w:before="230" w:after="0"/>
        <w:ind w:left="2160" w:right="0" w:hanging="0"/>
        <w:jc w:val="left"/>
        <w:rPr/>
      </w:pPr>
      <w:r>
        <w:rPr/>
        <w:t xml:space="preserve">☐ </w:t>
      </w:r>
      <w:r>
        <w:rPr>
          <w:rFonts w:ascii="Times New Roman;Times;serif" w:hAnsi="Times New Roman;Times;serif"/>
          <w:sz w:val="20"/>
        </w:rPr>
        <w:t>in lawful money of the United States; or</w:t>
      </w:r>
    </w:p>
    <w:p>
      <w:pPr>
        <w:pStyle w:val="TextBody"/>
        <w:bidi w:val="0"/>
        <w:spacing w:lineRule="atLeast" w:line="233" w:before="24" w:after="0"/>
        <w:ind w:left="2160" w:right="0" w:hanging="0"/>
        <w:jc w:val="both"/>
        <w:rPr/>
      </w:pPr>
      <w:r>
        <w:rPr/>
        <w:t xml:space="preserve">☐ </w:t>
      </w:r>
      <w:r>
        <w:rPr>
          <w:rFonts w:ascii="Times New Roman;Times;serif" w:hAnsi="Times New Roman;Times;serif"/>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tLeast" w:line="230" w:before="0" w:after="0"/>
        <w:ind w:left="0" w:right="0" w:hanging="0"/>
        <w:jc w:val="both"/>
        <w:rPr>
          <w:rFonts w:ascii="Times New Roman;Times;serif" w:hAnsi="Times New Roman;Times;serif"/>
          <w:sz w:val="20"/>
        </w:rPr>
      </w:pPr>
      <w:r>
        <w:rPr>
          <w:rFonts w:ascii="Times New Roman;Times;serif" w:hAnsi="Times New Roman;Times;serif"/>
          <w:sz w:val="20"/>
        </w:rPr>
        <w:t>(3)Please issue said [Warrant Shares][Pre-Funded Warrants] in the name of the undersigned or in such other name as is specified below:</w:t>
      </w:r>
    </w:p>
    <w:p>
      <w:pPr>
        <w:pStyle w:val="TextBody"/>
        <w:bidi w:val="0"/>
        <w:spacing w:before="0" w:after="283"/>
        <w:jc w:val="left"/>
        <w:rPr/>
      </w:pPr>
      <w:r>
        <w:rPr/>
        <w:drawing>
          <wp:inline distT="0" distB="0" distL="0" distR="0">
            <wp:extent cx="1976120" cy="1460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976120" cy="14605"/>
                    </a:xfrm>
                    <a:prstGeom prst="rect">
                      <a:avLst/>
                    </a:prstGeom>
                  </pic:spPr>
                </pic:pic>
              </a:graphicData>
            </a:graphic>
          </wp:inline>
        </w:drawing>
      </w:r>
    </w:p>
    <w:p>
      <w:pPr>
        <w:pStyle w:val="TextBody"/>
        <w:bidi w:val="0"/>
        <w:spacing w:lineRule="atLeast" w:line="230" w:before="483" w:after="431"/>
        <w:ind w:left="0" w:right="0" w:hanging="0"/>
        <w:jc w:val="both"/>
        <w:rPr>
          <w:rFonts w:ascii="Times New Roman;Times;serif" w:hAnsi="Times New Roman;Times;serif"/>
          <w:sz w:val="20"/>
        </w:rPr>
      </w:pPr>
      <w:r>
        <w:rPr>
          <w:rFonts w:ascii="Times New Roman;Times;serif" w:hAnsi="Times New Roman;Times;serif"/>
          <w:sz w:val="20"/>
        </w:rPr>
        <w:t>If permitted by the terms of the Warrant, the Warrant Shares shall be delivered to the following DWAC Account Number:</w:t>
      </w:r>
    </w:p>
    <w:p>
      <w:pPr>
        <w:pStyle w:val="TextBody"/>
        <w:bidi w:val="0"/>
        <w:spacing w:before="0" w:after="0"/>
        <w:jc w:val="left"/>
        <w:rPr/>
      </w:pPr>
      <w:r>
        <w:rPr/>
        <w:drawing>
          <wp:inline distT="0" distB="0" distL="0" distR="0">
            <wp:extent cx="1976120" cy="1460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976120" cy="14605"/>
                    </a:xfrm>
                    <a:prstGeom prst="rect">
                      <a:avLst/>
                    </a:prstGeom>
                  </pic:spPr>
                </pic:pic>
              </a:graphicData>
            </a:graphic>
          </wp:inline>
        </w:drawing>
      </w:r>
    </w:p>
    <w:p>
      <w:pPr>
        <w:pStyle w:val="TextBody"/>
        <w:bidi w:val="0"/>
        <w:spacing w:before="0" w:after="0"/>
        <w:jc w:val="left"/>
        <w:rPr/>
      </w:pPr>
      <w:r>
        <w:rPr/>
        <w:drawing>
          <wp:inline distT="0" distB="0" distL="0" distR="0">
            <wp:extent cx="1976120" cy="1460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976120" cy="14605"/>
                    </a:xfrm>
                    <a:prstGeom prst="rect">
                      <a:avLst/>
                    </a:prstGeom>
                  </pic:spPr>
                </pic:pic>
              </a:graphicData>
            </a:graphic>
          </wp:inline>
        </w:drawing>
      </w:r>
    </w:p>
    <w:p>
      <w:pPr>
        <w:pStyle w:val="TextBody"/>
        <w:bidi w:val="0"/>
        <w:spacing w:before="0" w:after="0"/>
        <w:jc w:val="left"/>
        <w:rPr/>
      </w:pPr>
      <w:r>
        <w:rPr/>
        <w:drawing>
          <wp:inline distT="0" distB="0" distL="0" distR="0">
            <wp:extent cx="1976120" cy="1460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976120" cy="14605"/>
                    </a:xfrm>
                    <a:prstGeom prst="rect">
                      <a:avLst/>
                    </a:prstGeom>
                  </pic:spPr>
                </pic:pic>
              </a:graphicData>
            </a:graphic>
          </wp:inline>
        </w:drawing>
      </w:r>
    </w:p>
    <w:p>
      <w:pPr>
        <w:pStyle w:val="TextBody"/>
        <w:bidi w:val="0"/>
        <w:spacing w:lineRule="atLeast" w:line="235"/>
        <w:ind w:left="0" w:right="0" w:hanging="0"/>
        <w:jc w:val="both"/>
        <w:rPr>
          <w:rFonts w:ascii="Times New Roman;Times;serif" w:hAnsi="Times New Roman;Times;serif"/>
          <w:sz w:val="20"/>
        </w:rPr>
      </w:pPr>
      <w:r>
        <w:rPr>
          <w:rFonts w:ascii="Times New Roman;Times;serif" w:hAnsi="Times New Roman;Times;serif"/>
          <w:sz w:val="20"/>
        </w:rPr>
        <w:t>(4)The undersigned is an “accredited investor” as defined in Regulation D promulgated under the Securities Act of 1933, as amended.</w:t>
      </w:r>
    </w:p>
    <w:p>
      <w:pPr>
        <w:pStyle w:val="TextBody"/>
        <w:bidi w:val="0"/>
        <w:spacing w:lineRule="atLeast" w:line="223" w:before="358" w:after="0"/>
        <w:ind w:left="0" w:right="0" w:hanging="0"/>
        <w:jc w:val="left"/>
        <w:rPr>
          <w:rFonts w:ascii="Times New Roman;Times;serif" w:hAnsi="Times New Roman;Times;serif"/>
          <w:spacing w:val="-1"/>
          <w:sz w:val="20"/>
        </w:rPr>
      </w:pPr>
      <w:r>
        <w:rPr>
          <w:rFonts w:ascii="Times New Roman;Times;serif" w:hAnsi="Times New Roman;Times;serif"/>
          <w:spacing w:val="-1"/>
          <w:sz w:val="20"/>
        </w:rPr>
        <w:t>[SIGNATURE OF HOLDER]</w:t>
      </w:r>
    </w:p>
    <w:p>
      <w:pPr>
        <w:pStyle w:val="TextBody"/>
        <w:bidi w:val="0"/>
        <w:spacing w:lineRule="atLeast" w:line="345" w:before="113" w:after="0"/>
        <w:ind w:left="0" w:right="0" w:hanging="0"/>
        <w:jc w:val="left"/>
        <w:rPr>
          <w:rFonts w:ascii="Times New Roman;Times;serif" w:hAnsi="Times New Roman;Times;serif"/>
          <w:sz w:val="20"/>
        </w:rPr>
      </w:pPr>
      <w:r>
        <w:rPr>
          <w:rFonts w:ascii="Times New Roman;Times;serif" w:hAnsi="Times New Roman;Times;serif"/>
          <w:sz w:val="20"/>
        </w:rPr>
        <w:t xml:space="preserve">Name of Investing Entity: </w:t>
        <w:br/>
      </w:r>
      <w:r>
        <w:rPr>
          <w:rFonts w:ascii="Times New Roman;Times;serif" w:hAnsi="Times New Roman;Times;serif"/>
          <w:i/>
          <w:sz w:val="20"/>
        </w:rPr>
        <w:t>Signature of Authorized Signatory of Investing Entity</w:t>
      </w:r>
      <w:r>
        <w:rPr>
          <w:rFonts w:ascii="Times New Roman;Times;serif" w:hAnsi="Times New Roman;Times;serif"/>
          <w:sz w:val="20"/>
        </w:rPr>
        <w:t>:</w:t>
      </w:r>
    </w:p>
    <w:p>
      <w:pPr>
        <w:pStyle w:val="TextBody"/>
        <w:bidi w:val="0"/>
        <w:spacing w:lineRule="atLeast" w:line="223" w:before="121" w:after="0"/>
        <w:ind w:left="0" w:right="0" w:hanging="0"/>
        <w:jc w:val="left"/>
        <w:rPr>
          <w:rFonts w:ascii="Times New Roman;Times;serif" w:hAnsi="Times New Roman;Times;serif"/>
          <w:sz w:val="20"/>
        </w:rPr>
      </w:pPr>
      <w:r>
        <w:rPr>
          <w:rFonts w:ascii="Times New Roman;Times;serif" w:hAnsi="Times New Roman;Times;serif"/>
          <w:sz w:val="20"/>
        </w:rPr>
        <w:t xml:space="preserve">Name of Authorized Signatory: </w:t>
      </w:r>
    </w:p>
    <w:p>
      <w:pPr>
        <w:pStyle w:val="TextBody"/>
        <w:bidi w:val="0"/>
        <w:spacing w:lineRule="atLeast" w:line="217"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27">
            <wp:simplePos x="0" y="0"/>
            <wp:positionH relativeFrom="page">
              <wp:posOffset>0</wp:posOffset>
            </wp:positionH>
            <wp:positionV relativeFrom="line">
              <wp:posOffset>635</wp:posOffset>
            </wp:positionV>
            <wp:extent cx="720090" cy="219075"/>
            <wp:effectExtent l="0" t="0" r="0" b="0"/>
            <wp:wrapNone/>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17</w:t>
      </w:r>
    </w:p>
    <w:p>
      <w:pPr>
        <w:pStyle w:val="TextBody"/>
        <w:bidi w:val="0"/>
        <w:spacing w:lineRule="atLeast" w:line="345"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of Authorized Signatory: </w:t>
        <w:br/>
        <w:t>Date: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25" w:before="13" w:after="0"/>
        <w:ind w:left="7920" w:right="0" w:hanging="0"/>
        <w:jc w:val="left"/>
        <w:rPr>
          <w:rFonts w:ascii="Times New Roman;Times;serif" w:hAnsi="Times New Roman;Times;serif"/>
          <w:b/>
          <w:sz w:val="20"/>
        </w:rPr>
      </w:pPr>
      <w:r>
        <w:rPr>
          <w:rFonts w:ascii="Times New Roman;Times;serif" w:hAnsi="Times New Roman;Times;serif"/>
          <w:b/>
          <w:sz w:val="20"/>
        </w:rPr>
        <w:t>EXHIBIT B</w:t>
      </w:r>
    </w:p>
    <w:p>
      <w:pPr>
        <w:pStyle w:val="TextBody"/>
        <w:bidi w:val="0"/>
        <w:spacing w:lineRule="atLeast" w:line="225" w:before="721" w:after="0"/>
        <w:ind w:left="0" w:right="0" w:hanging="0"/>
        <w:jc w:val="center"/>
        <w:rPr>
          <w:rFonts w:ascii="Times New Roman;Times;serif" w:hAnsi="Times New Roman;Times;serif"/>
          <w:b/>
          <w:sz w:val="20"/>
        </w:rPr>
      </w:pPr>
      <w:r>
        <w:rPr>
          <w:rFonts w:ascii="Times New Roman;Times;serif" w:hAnsi="Times New Roman;Times;serif"/>
          <w:b/>
          <w:sz w:val="20"/>
        </w:rPr>
        <w:t>ASSIGNMENT FORM</w:t>
      </w:r>
    </w:p>
    <w:p>
      <w:pPr>
        <w:pStyle w:val="TextBody"/>
        <w:bidi w:val="0"/>
        <w:spacing w:lineRule="atLeast" w:line="230" w:before="230" w:after="0"/>
        <w:ind w:left="0" w:right="72" w:firstLine="144"/>
        <w:jc w:val="both"/>
        <w:rPr>
          <w:rFonts w:ascii="Times New Roman;Times;serif" w:hAnsi="Times New Roman;Times;serif"/>
          <w:i/>
          <w:sz w:val="20"/>
        </w:rPr>
      </w:pPr>
      <w:r>
        <w:rPr>
          <w:rFonts w:ascii="Times New Roman;Times;serif" w:hAnsi="Times New Roman;Times;serif"/>
          <w:i/>
          <w:sz w:val="20"/>
        </w:rPr>
        <w:t>(To assign the foregoing Warrant, execute this form and supply required information. Do not use this form to purchase shares.)</w:t>
      </w:r>
    </w:p>
    <w:p>
      <w:pPr>
        <w:pStyle w:val="TextBody"/>
        <w:bidi w:val="0"/>
        <w:spacing w:lineRule="atLeast" w:line="225" w:before="126" w:after="0"/>
        <w:ind w:left="0" w:right="0" w:hanging="0"/>
        <w:jc w:val="center"/>
        <w:rPr>
          <w:rFonts w:ascii="Times New Roman;Times;serif" w:hAnsi="Times New Roman;Times;serif"/>
          <w:sz w:val="20"/>
        </w:rPr>
      </w:pPr>
      <w:r>
        <w:rPr>
          <w:rFonts w:ascii="Times New Roman;Times;serif" w:hAnsi="Times New Roman;Times;serif"/>
          <w:sz w:val="20"/>
        </w:rPr>
        <w:t>FOR VALUE RECEIVED, the foregoing Warrant and all rights evidenced thereby are hereby assigned to</w:t>
      </w:r>
    </w:p>
    <w:p>
      <w:pPr>
        <w:pStyle w:val="TextBody"/>
        <w:bidi w:val="0"/>
        <w:spacing w:lineRule="atLeast" w:line="183" w:before="596" w:after="0"/>
        <w:ind w:left="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283"/>
        <w:jc w:val="left"/>
        <w:rPr/>
      </w:pPr>
      <w:r>
        <w:rPr/>
        <w:drawing>
          <wp:inline distT="0" distB="0" distL="0" distR="0">
            <wp:extent cx="2908935" cy="1460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2908935" cy="14605"/>
                    </a:xfrm>
                    <a:prstGeom prst="rect">
                      <a:avLst/>
                    </a:prstGeom>
                  </pic:spPr>
                </pic:pic>
              </a:graphicData>
            </a:graphic>
          </wp:inline>
        </w:drawing>
      </w:r>
    </w:p>
    <w:p>
      <w:pPr>
        <w:pStyle w:val="TextBody"/>
        <w:bidi w:val="0"/>
        <w:spacing w:lineRule="atLeast" w:line="225" w:before="312" w:after="0"/>
        <w:ind w:left="4896" w:right="0" w:hanging="0"/>
        <w:jc w:val="left"/>
        <w:rPr>
          <w:rFonts w:ascii="Times New Roman;Times;serif" w:hAnsi="Times New Roman;Times;serif"/>
          <w:sz w:val="20"/>
        </w:rPr>
      </w:pPr>
      <w:r>
        <w:rPr>
          <w:rFonts w:ascii="Times New Roman;Times;serif" w:hAnsi="Times New Roman;Times;serif"/>
          <w:sz w:val="20"/>
        </w:rPr>
        <w:t>(Please Print)</w:t>
      </w:r>
    </w:p>
    <w:p>
      <w:pPr>
        <w:pStyle w:val="TextBody"/>
        <w:bidi w:val="0"/>
        <w:spacing w:lineRule="atLeast" w:line="193" w:before="514" w:after="0"/>
        <w:ind w:left="144" w:right="0" w:hanging="0"/>
        <w:jc w:val="left"/>
        <w:rPr>
          <w:rFonts w:ascii="Times New Roman;Times;serif" w:hAnsi="Times New Roman;Times;serif"/>
          <w:spacing w:val="-2"/>
          <w:sz w:val="20"/>
        </w:rPr>
      </w:pPr>
      <w:r>
        <w:rPr>
          <w:rFonts w:ascii="Times New Roman;Times;serif" w:hAnsi="Times New Roman;Times;serif"/>
          <w:spacing w:val="-2"/>
          <w:sz w:val="20"/>
        </w:rPr>
        <w:t>Address:</w:t>
      </w:r>
    </w:p>
    <w:p>
      <w:pPr>
        <w:pStyle w:val="TextBody"/>
        <w:bidi w:val="0"/>
        <w:spacing w:before="0" w:after="283"/>
        <w:jc w:val="left"/>
        <w:rPr/>
      </w:pPr>
      <w:r>
        <w:rPr/>
        <w:drawing>
          <wp:inline distT="0" distB="0" distL="0" distR="0">
            <wp:extent cx="2908935" cy="1460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2908935" cy="14605"/>
                    </a:xfrm>
                    <a:prstGeom prst="rect">
                      <a:avLst/>
                    </a:prstGeom>
                  </pic:spPr>
                </pic:pic>
              </a:graphicData>
            </a:graphic>
          </wp:inline>
        </w:drawing>
      </w:r>
    </w:p>
    <w:p>
      <w:pPr>
        <w:pStyle w:val="TextBody"/>
        <w:bidi w:val="0"/>
        <w:spacing w:lineRule="atLeast" w:line="225" w:before="314" w:after="0"/>
        <w:ind w:left="4896" w:right="0" w:hanging="0"/>
        <w:jc w:val="left"/>
        <w:rPr>
          <w:rFonts w:ascii="Times New Roman;Times;serif" w:hAnsi="Times New Roman;Times;serif"/>
          <w:sz w:val="20"/>
        </w:rPr>
      </w:pPr>
      <w:r>
        <w:rPr>
          <w:rFonts w:ascii="Times New Roman;Times;serif" w:hAnsi="Times New Roman;Times;serif"/>
          <w:sz w:val="20"/>
        </w:rPr>
        <w:t>(Please Print)</w:t>
      </w:r>
    </w:p>
    <w:p>
      <w:pPr>
        <w:pStyle w:val="TextBody"/>
        <w:bidi w:val="0"/>
        <w:spacing w:lineRule="atLeast" w:line="203" w:before="279" w:after="0"/>
        <w:ind w:left="144" w:right="0" w:hanging="0"/>
        <w:jc w:val="left"/>
        <w:rPr>
          <w:rFonts w:ascii="Times New Roman;Times;serif" w:hAnsi="Times New Roman;Times;serif"/>
          <w:spacing w:val="-1"/>
          <w:sz w:val="20"/>
        </w:rPr>
      </w:pPr>
      <w:r>
        <w:rPr>
          <w:rFonts w:ascii="Times New Roman;Times;serif" w:hAnsi="Times New Roman;Times;serif"/>
          <w:spacing w:val="-1"/>
          <w:sz w:val="20"/>
        </w:rPr>
        <w:t>Phone Number:</w:t>
      </w:r>
    </w:p>
    <w:p>
      <w:pPr>
        <w:pStyle w:val="TextBody"/>
        <w:bidi w:val="0"/>
        <w:spacing w:before="0" w:after="283"/>
        <w:jc w:val="left"/>
        <w:rPr/>
      </w:pPr>
      <w:r>
        <w:rPr/>
        <w:drawing>
          <wp:inline distT="0" distB="0" distL="0" distR="0">
            <wp:extent cx="2420620" cy="1460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2420620" cy="14605"/>
                    </a:xfrm>
                    <a:prstGeom prst="rect">
                      <a:avLst/>
                    </a:prstGeom>
                  </pic:spPr>
                </pic:pic>
              </a:graphicData>
            </a:graphic>
          </wp:inline>
        </w:drawing>
      </w:r>
    </w:p>
    <w:p>
      <w:pPr>
        <w:pStyle w:val="TextBody"/>
        <w:bidi w:val="0"/>
        <w:spacing w:lineRule="atLeast" w:line="203" w:before="297" w:after="0"/>
        <w:ind w:left="144" w:right="0" w:hanging="0"/>
        <w:jc w:val="left"/>
        <w:rPr>
          <w:rFonts w:ascii="Times New Roman;Times;serif" w:hAnsi="Times New Roman;Times;serif"/>
          <w:spacing w:val="-1"/>
          <w:sz w:val="20"/>
        </w:rPr>
      </w:pPr>
      <w:r>
        <w:rPr>
          <w:rFonts w:ascii="Times New Roman;Times;serif" w:hAnsi="Times New Roman;Times;serif"/>
          <w:spacing w:val="-1"/>
          <w:sz w:val="20"/>
        </w:rPr>
        <w:t>Email Address:</w:t>
      </w:r>
    </w:p>
    <w:p>
      <w:pPr>
        <w:pStyle w:val="TextBody"/>
        <w:bidi w:val="0"/>
        <w:spacing w:before="0" w:after="283"/>
        <w:jc w:val="left"/>
        <w:rPr/>
      </w:pPr>
      <w:r>
        <w:rPr/>
        <w:drawing>
          <wp:inline distT="0" distB="0" distL="0" distR="0">
            <wp:extent cx="2420620" cy="1460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2420620" cy="14605"/>
                    </a:xfrm>
                    <a:prstGeom prst="rect">
                      <a:avLst/>
                    </a:prstGeom>
                  </pic:spPr>
                </pic:pic>
              </a:graphicData>
            </a:graphic>
          </wp:inline>
        </w:drawing>
      </w:r>
    </w:p>
    <w:p>
      <w:pPr>
        <w:pStyle w:val="TextBody"/>
        <w:bidi w:val="0"/>
        <w:spacing w:lineRule="atLeast" w:line="225" w:before="333"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5"/>
          <w:sz w:val="20"/>
          <w:bdr w:val="single" w:sz="2" w:space="1" w:color="000000"/>
        </w:rPr>
        <w:t>Dated:</w:t>
      </w:r>
      <w:r>
        <w:rPr>
          <w:rFonts w:ascii="Times New Roman;Times;serif" w:hAnsi="Times New Roman;Times;serif"/>
          <w:spacing w:val="-5"/>
          <w:sz w:val="20"/>
        </w:rPr>
        <w:t>__, ______</w:t>
      </w:r>
    </w:p>
    <w:p>
      <w:pPr>
        <w:pStyle w:val="TextBody"/>
        <w:bidi w:val="0"/>
        <w:spacing w:lineRule="atLeast" w:line="225" w:before="498"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Holder’s Signature: </w:t>
      </w:r>
    </w:p>
    <w:p>
      <w:pPr>
        <w:pStyle w:val="TextBody"/>
        <w:bidi w:val="0"/>
        <w:spacing w:lineRule="atLeast" w:line="217"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28">
            <wp:simplePos x="0" y="0"/>
            <wp:positionH relativeFrom="page">
              <wp:posOffset>0</wp:posOffset>
            </wp:positionH>
            <wp:positionV relativeFrom="line">
              <wp:posOffset>635</wp:posOffset>
            </wp:positionV>
            <wp:extent cx="720090" cy="219075"/>
            <wp:effectExtent l="0" t="0" r="0" b="0"/>
            <wp:wrapNone/>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18</w:t>
      </w:r>
    </w:p>
    <w:p>
      <w:pPr>
        <w:pStyle w:val="TextBody"/>
        <w:bidi w:val="0"/>
        <w:spacing w:lineRule="atLeast" w:line="225" w:before="519" w:after="0"/>
        <w:ind w:left="0" w:right="0" w:hanging="0"/>
        <w:jc w:val="left"/>
        <w:rPr>
          <w:rFonts w:ascii="Times New Roman;Times;serif" w:hAnsi="Times New Roman;Times;serif"/>
          <w:spacing w:val="-5"/>
          <w:sz w:val="20"/>
        </w:rPr>
      </w:pPr>
      <w:r>
        <w:rPr>
          <w:rFonts w:ascii="Times New Roman;Times;serif" w:hAnsi="Times New Roman;Times;serif"/>
          <w:spacing w:val="-5"/>
          <w:sz w:val="20"/>
        </w:rPr>
        <w:t xml:space="preserve">Holder’s Address: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pBdr/>
        <w:bidi w:val="0"/>
        <w:spacing w:lineRule="atLeast" w:line="345" w:before="0" w:after="0"/>
        <w:ind w:left="0" w:right="0" w:hanging="1008"/>
        <w:jc w:val="left"/>
        <w:rPr>
          <w:rFonts w:ascii="Times New Roman;Times;serif" w:hAnsi="Times New Roman;Times;serif"/>
          <w:sz w:val="20"/>
        </w:rPr>
      </w:pPr>
      <w:r>
        <w:rPr>
          <w:rFonts w:ascii="Times New Roman;Times;serif" w:hAnsi="Times New Roman;Times;serif"/>
          <w:b/>
          <w:spacing w:val="-1"/>
          <w:sz w:val="20"/>
        </w:rPr>
        <w:t xml:space="preserve">FORM OF PRE-FUNDED WARRANT </w:t>
      </w:r>
      <w:r>
        <w:rPr>
          <w:rFonts w:ascii="Times New Roman;Times;serif" w:hAnsi="Times New Roman;Times;serif"/>
          <w:spacing w:val="-1"/>
          <w:sz w:val="20"/>
        </w:rPr>
        <w:t>[To be Attached]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73" w:before="15" w:after="230"/>
        <w:ind w:left="0" w:right="0" w:hanging="0"/>
        <w:jc w:val="center"/>
        <w:rPr>
          <w:rFonts w:ascii="Times New Roman;Times;serif" w:hAnsi="Times New Roman;Times;serif"/>
          <w:b/>
          <w:sz w:val="24"/>
        </w:rPr>
      </w:pPr>
      <w:r>
        <w:rPr>
          <w:rFonts w:ascii="Times New Roman;Times;serif" w:hAnsi="Times New Roman;Times;serif"/>
          <w:b/>
          <w:sz w:val="24"/>
        </w:rPr>
        <w:t>Exhibit A-2</w:t>
      </w:r>
    </w:p>
    <w:p>
      <w:pPr>
        <w:pStyle w:val="TextBody"/>
        <w:bidi w:val="0"/>
        <w:spacing w:before="0" w:after="230"/>
        <w:ind w:left="0" w:right="0" w:hanging="0"/>
        <w:jc w:val="left"/>
        <w:rPr/>
      </w:pPr>
      <w:r>
        <w:rPr/>
        <w:t>​</w:t>
      </w:r>
    </w:p>
    <w:p>
      <w:pPr>
        <w:pStyle w:val="TextBody"/>
        <w:bidi w:val="0"/>
        <w:spacing w:lineRule="atLeast" w:line="273" w:before="0" w:after="12216"/>
        <w:ind w:left="0" w:right="0" w:hanging="0"/>
        <w:jc w:val="center"/>
        <w:rPr>
          <w:rFonts w:ascii="Times New Roman;Times;serif" w:hAnsi="Times New Roman;Times;serif"/>
          <w:b/>
          <w:spacing w:val="-3"/>
          <w:sz w:val="24"/>
        </w:rPr>
      </w:pPr>
      <w:r>
        <w:rPr>
          <w:rFonts w:ascii="Times New Roman;Times;serif" w:hAnsi="Times New Roman;Times;serif"/>
          <w:b/>
          <w:spacing w:val="-3"/>
          <w:sz w:val="24"/>
        </w:rPr>
        <w:t>Form of Five-Year Milestone Warrant</w:t>
      </w:r>
    </w:p>
    <w:p>
      <w:pPr>
        <w:pStyle w:val="TextBody"/>
        <w:bidi w:val="0"/>
        <w:spacing w:before="0" w:after="12216"/>
        <w:ind w:left="0" w:right="0" w:hanging="0"/>
        <w:jc w:val="left"/>
        <w:rPr/>
      </w:pPr>
      <w:r>
        <w:rPr/>
        <w:t>​</w:t>
      </w:r>
    </w:p>
    <w:p>
      <w:pPr>
        <w:pStyle w:val="TextBody"/>
        <w:bidi w:val="0"/>
        <w:spacing w:lineRule="atLeast" w:line="273"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352"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WARRANT TO PURCHASE COMMON STOCK OR PRE-FUNDED WARRANTS </w:t>
        <w:br/>
        <w:t>AEON BIOPHARMA, INC.</w:t>
      </w:r>
    </w:p>
    <w:p>
      <w:pPr>
        <w:pStyle w:val="TextBody"/>
        <w:bidi w:val="0"/>
        <w:spacing w:lineRule="atLeast" w:line="230" w:before="249" w:after="0"/>
        <w:ind w:left="0" w:right="0" w:hanging="0"/>
        <w:jc w:val="left"/>
        <w:rPr>
          <w:rFonts w:ascii="Times New Roman;Times;serif" w:hAnsi="Times New Roman;Times;serif"/>
          <w:sz w:val="20"/>
        </w:rPr>
      </w:pPr>
      <w:r>
        <w:rPr>
          <w:rFonts w:ascii="Times New Roman;Times;serif" w:hAnsi="Times New Roman;Times;serif"/>
          <w:sz w:val="20"/>
        </w:rPr>
        <w:t>Warrant Shares: _______Issuance Date: July 15, 2026</w:t>
      </w:r>
    </w:p>
    <w:p>
      <w:pPr>
        <w:pStyle w:val="TextBody"/>
        <w:bidi w:val="0"/>
        <w:spacing w:lineRule="atLeast" w:line="230" w:before="474" w:after="0"/>
        <w:ind w:left="0" w:right="0" w:firstLine="720"/>
        <w:jc w:val="both"/>
        <w:rPr>
          <w:rFonts w:ascii="Times New Roman;Times;serif" w:hAnsi="Times New Roman;Times;serif"/>
          <w:sz w:val="20"/>
        </w:rPr>
      </w:pPr>
      <w:r>
        <w:rPr>
          <w:rFonts w:ascii="Times New Roman;Times;serif" w:hAnsi="Times New Roman;Times;serif"/>
          <w:sz w:val="20"/>
        </w:rPr>
        <w:t>THIS WARRANT (the “</w:t>
      </w:r>
      <w:r>
        <w:rPr>
          <w:rFonts w:ascii="Times New Roman;Times;serif" w:hAnsi="Times New Roman;Times;serif"/>
          <w:sz w:val="20"/>
          <w:u w:val="single"/>
        </w:rPr>
        <w:t>Warrant</w:t>
      </w:r>
      <w:r>
        <w:rPr>
          <w:rFonts w:ascii="Times New Roman;Times;serif" w:hAnsi="Times New Roman;Times;serif"/>
          <w:sz w:val="20"/>
        </w:rPr>
        <w:t>”) certifies that, for value received, [●] or its assigns (the “</w:t>
      </w:r>
      <w:r>
        <w:rPr>
          <w:rFonts w:ascii="Times New Roman;Times;serif" w:hAnsi="Times New Roman;Times;serif"/>
          <w:sz w:val="20"/>
          <w:u w:val="single"/>
        </w:rPr>
        <w:t>Holder</w:t>
      </w:r>
      <w:r>
        <w:rPr>
          <w:rFonts w:ascii="Times New Roman;Times;serif" w:hAnsi="Times New Roman;Times;serif"/>
          <w:sz w:val="20"/>
        </w:rPr>
        <w:t>”) is entitled, upon the terms and subject to the limitations on exercise and the conditions hereinafter set forth, at any time on or after July 15, 2026 (the “</w:t>
      </w:r>
      <w:r>
        <w:rPr>
          <w:rFonts w:ascii="Times New Roman;Times;serif" w:hAnsi="Times New Roman;Times;serif"/>
          <w:sz w:val="20"/>
          <w:u w:val="single"/>
        </w:rPr>
        <w:t>Initial Exercise Date</w:t>
      </w:r>
      <w:r>
        <w:rPr>
          <w:rFonts w:ascii="Times New Roman;Times;serif" w:hAnsi="Times New Roman;Times;serif"/>
          <w:sz w:val="20"/>
        </w:rPr>
        <w:t>”) and on or prior to the earliest of (x) 5:00 p.m. (New York City time) on July 15, 2031, and (y) 45 days following the Company's public announcement of the initiation of a Phase 3 clinical equivalence trial of ABP-450 as a Botox® biosimilar (the “</w:t>
      </w:r>
      <w:r>
        <w:rPr>
          <w:rFonts w:ascii="Times New Roman;Times;serif" w:hAnsi="Times New Roman;Times;serif"/>
          <w:sz w:val="20"/>
          <w:u w:val="single"/>
        </w:rPr>
        <w:t>Termination Date</w:t>
      </w:r>
      <w:r>
        <w:rPr>
          <w:rFonts w:ascii="Times New Roman;Times;serif" w:hAnsi="Times New Roman;Times;serif"/>
          <w:sz w:val="20"/>
        </w:rPr>
        <w:t>”), but not thereafter, to subscribe for and purchase from AEON Biopharma, Inc., a Delaware corporation (the “</w:t>
      </w:r>
      <w:r>
        <w:rPr>
          <w:rFonts w:ascii="Times New Roman;Times;serif" w:hAnsi="Times New Roman;Times;serif"/>
          <w:sz w:val="20"/>
          <w:u w:val="single"/>
        </w:rPr>
        <w:t>Company</w:t>
      </w:r>
      <w:r>
        <w:rPr>
          <w:rFonts w:ascii="Times New Roman;Times;serif" w:hAnsi="Times New Roman;Times;serif"/>
          <w:sz w:val="20"/>
        </w:rPr>
        <w:t>”), up to [●] shares (as subject to adjustment hereunder, the “</w:t>
      </w:r>
      <w:r>
        <w:rPr>
          <w:rFonts w:ascii="Times New Roman;Times;serif" w:hAnsi="Times New Roman;Times;serif"/>
          <w:sz w:val="20"/>
          <w:u w:val="single"/>
        </w:rPr>
        <w:t>Warrant Shares</w:t>
      </w:r>
      <w:r>
        <w:rPr>
          <w:rFonts w:ascii="Times New Roman;Times;serif" w:hAnsi="Times New Roman;Times;serif"/>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spacing w:lineRule="atLeast" w:line="230" w:before="240" w:after="0"/>
        <w:ind w:left="0" w:right="0" w:firstLine="720"/>
        <w:jc w:val="both"/>
        <w:rPr>
          <w:rFonts w:ascii="Times New Roman;Times;serif" w:hAnsi="Times New Roman;Times;serif"/>
          <w:sz w:val="20"/>
        </w:rPr>
      </w:pPr>
      <w:r>
        <w:rPr>
          <w:rFonts w:ascii="Times New Roman;Times;serif" w:hAnsi="Times New Roman;Times;serif"/>
          <w:sz w:val="20"/>
          <w:u w:val="single"/>
        </w:rPr>
        <w:t>Section 1. Definitions</w:t>
      </w:r>
      <w:r>
        <w:rPr>
          <w:rFonts w:ascii="Times New Roman;Times;serif" w:hAnsi="Times New Roman;Times;serif"/>
          <w:sz w:val="20"/>
        </w:rPr>
        <w:t>. In addition to the terms defined elsewhere in this Warrant, the following terms have the meanings indicated in this Section 1:</w:t>
      </w:r>
    </w:p>
    <w:p>
      <w:pPr>
        <w:pStyle w:val="TextBody"/>
        <w:bidi w:val="0"/>
        <w:spacing w:lineRule="atLeast" w:line="230" w:before="237" w:after="0"/>
        <w:ind w:left="0" w:right="0" w:firstLine="720"/>
        <w:jc w:val="both"/>
        <w:rPr/>
      </w:pPr>
      <w:r>
        <w:rPr/>
        <w:t>“</w:t>
      </w:r>
      <w:r>
        <w:rPr>
          <w:rFonts w:ascii="Times New Roman;Times;serif" w:hAnsi="Times New Roman;Times;serif"/>
          <w:sz w:val="20"/>
          <w:u w:val="single"/>
        </w:rPr>
        <w:t>Affiliate</w:t>
      </w:r>
      <w:r>
        <w:rPr>
          <w:rFonts w:ascii="Times New Roman;Times;serif" w:hAnsi="Times New Roman;Times;serif"/>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tLeast" w:line="230" w:before="240" w:after="0"/>
        <w:ind w:left="0" w:right="0" w:firstLine="720"/>
        <w:jc w:val="both"/>
        <w:rPr/>
      </w:pPr>
      <w:r>
        <w:rPr>
          <w:spacing w:val="-1"/>
        </w:rPr>
        <w:t>“</w:t>
      </w:r>
      <w:r>
        <w:rPr>
          <w:rFonts w:ascii="Times New Roman;Times;serif" w:hAnsi="Times New Roman;Times;serif"/>
          <w:spacing w:val="-1"/>
          <w:sz w:val="20"/>
          <w:u w:val="single"/>
        </w:rPr>
        <w:t>Bid Price</w:t>
      </w:r>
      <w:r>
        <w:rPr>
          <w:rFonts w:ascii="Times New Roman;Times;serif" w:hAnsi="Times New Roman;Times;serif"/>
          <w:spacing w:val="-1"/>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Business Day</w:t>
      </w:r>
      <w:r>
        <w:rPr>
          <w:rFonts w:ascii="Times New Roman;Times;serif" w:hAnsi="Times New Roman;Times;serif"/>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lineRule="atLeast" w:line="230" w:before="242" w:after="0"/>
        <w:ind w:left="720" w:right="0" w:hanging="0"/>
        <w:jc w:val="left"/>
        <w:rPr/>
      </w:pPr>
      <w:r>
        <w:rPr/>
        <w:t>“</w:t>
      </w:r>
      <w:r>
        <w:rPr>
          <w:rFonts w:ascii="Times New Roman;Times;serif" w:hAnsi="Times New Roman;Times;serif"/>
          <w:sz w:val="20"/>
          <w:u w:val="single"/>
        </w:rPr>
        <w:t>Commission</w:t>
      </w:r>
      <w:r>
        <w:rPr>
          <w:rFonts w:ascii="Times New Roman;Times;serif" w:hAnsi="Times New Roman;Times;serif"/>
          <w:sz w:val="20"/>
        </w:rPr>
        <w:t>” means the United States Securities and Exchange Commission.</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Common Stock</w:t>
      </w:r>
      <w:r>
        <w:rPr>
          <w:rFonts w:ascii="Times New Roman;Times;serif" w:hAnsi="Times New Roman;Times;serif"/>
          <w:sz w:val="20"/>
        </w:rPr>
        <w:t>” means the Class A common stock of the Company, par value $0.0001 per share, and any other class of securities into which such securities may hereafter be reclassified or changed.</w:t>
      </w:r>
    </w:p>
    <w:p>
      <w:pPr>
        <w:pStyle w:val="TextBody"/>
        <w:bidi w:val="0"/>
        <w:spacing w:lineRule="atLeast" w:line="228" w:before="243" w:after="0"/>
        <w:ind w:left="0" w:right="0" w:firstLine="720"/>
        <w:jc w:val="both"/>
        <w:rPr/>
      </w:pPr>
      <w:r>
        <w:rPr/>
        <w:t>“</w:t>
      </w:r>
      <w:r>
        <w:rPr>
          <w:rFonts w:ascii="Times New Roman;Times;serif" w:hAnsi="Times New Roman;Times;serif"/>
          <w:sz w:val="20"/>
          <w:u w:val="single"/>
        </w:rPr>
        <w:t>Common Stock Deemed Outstanding</w:t>
      </w:r>
      <w:r>
        <w:rPr>
          <w:rFonts w:ascii="Times New Roman;Times;serif" w:hAnsi="Times New Roman;Times;serif"/>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7" w:after="0"/>
        <w:ind w:left="0" w:right="0" w:firstLine="720"/>
        <w:jc w:val="both"/>
        <w:rPr/>
      </w:pPr>
      <w:r>
        <w:rPr/>
        <w:t>“</w:t>
      </w:r>
      <w:r>
        <w:rPr>
          <w:rFonts w:ascii="Times New Roman;Times;serif" w:hAnsi="Times New Roman;Times;serif"/>
          <w:sz w:val="20"/>
          <w:u w:val="single"/>
        </w:rPr>
        <w:t>Common Stock Equivalents</w:t>
      </w:r>
      <w:r>
        <w:rPr>
          <w:rFonts w:ascii="Times New Roman;Times;serif" w:hAnsi="Times New Roman;Times;serif"/>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 and the rules and regulations promulgated thereunder.</w:t>
      </w:r>
    </w:p>
    <w:p>
      <w:pPr>
        <w:pStyle w:val="TextBody"/>
        <w:bidi w:val="0"/>
        <w:spacing w:lineRule="atLeast" w:line="232" w:before="235" w:after="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Pre-Funded Warrant</w:t>
      </w:r>
      <w:r>
        <w:rPr>
          <w:rFonts w:ascii="Times New Roman;Times;serif" w:hAnsi="Times New Roman;Times;serif"/>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sz w:val="20"/>
          <w:u w:val="single"/>
        </w:rPr>
        <w:t>Exhibit C</w:t>
      </w:r>
      <w:r>
        <w:rPr>
          <w:rFonts w:ascii="Times New Roman;Times;serif" w:hAnsi="Times New Roman;Times;serif"/>
          <w:sz w:val="20"/>
        </w:rPr>
        <w:t xml:space="preserve"> hereto.</w:t>
      </w:r>
    </w:p>
    <w:p>
      <w:pPr>
        <w:pStyle w:val="TextBody"/>
        <w:bidi w:val="0"/>
        <w:spacing w:lineRule="atLeast" w:line="225" w:before="245" w:after="0"/>
        <w:ind w:left="720" w:right="0" w:hanging="0"/>
        <w:jc w:val="left"/>
        <w:rPr/>
      </w:pPr>
      <w:r>
        <w:rPr/>
        <w:t>“</w:t>
      </w:r>
      <w:r>
        <w:rPr>
          <w:rFonts w:ascii="Times New Roman;Times;serif" w:hAnsi="Times New Roman;Times;serif"/>
          <w:sz w:val="20"/>
          <w:u w:val="single"/>
        </w:rPr>
        <w:t>Pre-Funded Warrant Exercise Price</w:t>
      </w:r>
      <w:r>
        <w:rPr>
          <w:rFonts w:ascii="Times New Roman;Times;serif" w:hAnsi="Times New Roman;Times;serif"/>
          <w:sz w:val="20"/>
        </w:rPr>
        <w:t>” means $0.0001 per share of Common Stock.</w:t>
      </w:r>
    </w:p>
    <w:p>
      <w:pPr>
        <w:pStyle w:val="TextBody"/>
        <w:bidi w:val="0"/>
        <w:spacing w:lineRule="atLeast" w:line="230" w:before="239" w:after="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and the rules and regulations promulgated thereunder.</w:t>
      </w:r>
    </w:p>
    <w:p>
      <w:pPr>
        <w:pStyle w:val="TextBody"/>
        <w:bidi w:val="0"/>
        <w:spacing w:lineRule="atLeast" w:line="225" w:before="247" w:after="0"/>
        <w:ind w:left="720" w:right="0" w:hanging="0"/>
        <w:jc w:val="left"/>
        <w:rPr/>
      </w:pPr>
      <w:r>
        <w:rPr/>
        <w:t>“</w:t>
      </w:r>
      <w:r>
        <w:rPr>
          <w:rFonts w:ascii="Times New Roman;Times;serif" w:hAnsi="Times New Roman;Times;serif"/>
          <w:sz w:val="20"/>
          <w:u w:val="single"/>
        </w:rPr>
        <w:t>Trading Day</w:t>
      </w:r>
      <w:r>
        <w:rPr>
          <w:rFonts w:ascii="Times New Roman;Times;serif" w:hAnsi="Times New Roman;Times;serif"/>
          <w:sz w:val="20"/>
        </w:rPr>
        <w:t>” means a day on which the Common Stock is traded on a Trading Market.</w:t>
      </w:r>
    </w:p>
    <w:p>
      <w:pPr>
        <w:pStyle w:val="TextBody"/>
        <w:bidi w:val="0"/>
        <w:spacing w:lineRule="atLeast" w:line="230" w:before="240" w:after="0"/>
        <w:ind w:left="0" w:right="0" w:firstLine="720"/>
        <w:jc w:val="both"/>
        <w:rPr/>
      </w:pPr>
      <w:r>
        <w:rPr/>
        <w:t>“</w:t>
      </w:r>
      <w:r>
        <w:rPr>
          <w:rFonts w:ascii="Times New Roman;Times;serif" w:hAnsi="Times New Roman;Times;serif"/>
          <w:sz w:val="20"/>
          <w:u w:val="single"/>
        </w:rPr>
        <w:t>Trading Market</w:t>
      </w:r>
      <w:r>
        <w:rPr>
          <w:rFonts w:ascii="Times New Roman;Times;serif" w:hAnsi="Times New Roman;Times;serif"/>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tLeast" w:line="230" w:before="236" w:after="0"/>
        <w:ind w:left="0" w:right="0" w:firstLine="720"/>
        <w:jc w:val="both"/>
        <w:rPr/>
      </w:pPr>
      <w:r>
        <w:rPr/>
        <w:t>“</w:t>
      </w:r>
      <w:r>
        <w:rPr>
          <w:rFonts w:ascii="Times New Roman;Times;serif" w:hAnsi="Times New Roman;Times;serif"/>
          <w:sz w:val="20"/>
          <w:u w:val="single"/>
        </w:rPr>
        <w:t>Transfer Agent</w:t>
      </w:r>
      <w:r>
        <w:rPr>
          <w:rFonts w:ascii="Times New Roman;Times;serif" w:hAnsi="Times New Roman;Times;serif"/>
          <w:sz w:val="20"/>
        </w:rPr>
        <w:t>” means Continental Stock Transfer &amp; Trust Company, the current transfer agent of the Company, with a mailing address of 1 State Street, 30</w:t>
      </w:r>
      <w:r>
        <w:rPr>
          <w:rFonts w:ascii="Times New Roman;Times;serif" w:hAnsi="Times New Roman;Times;serif"/>
          <w:sz w:val="15"/>
        </w:rPr>
        <w:t>th</w:t>
      </w:r>
      <w:r>
        <w:rPr>
          <w:rFonts w:ascii="Times New Roman;Times;serif" w:hAnsi="Times New Roman;Times;serif"/>
          <w:sz w:val="20"/>
        </w:rPr>
        <w:t xml:space="preserve"> Floor, New York, NY 10004, Attention: Maria Vaz, and an e-mail address of </w:t>
      </w:r>
      <w:r>
        <w:rPr>
          <w:rFonts w:ascii="Times New Roman;Times;serif" w:hAnsi="Times New Roman;Times;serif"/>
          <w:color w:val="0000FF"/>
          <w:sz w:val="20"/>
          <w:u w:val="single"/>
        </w:rPr>
        <w:t>mvaz@continentalstock.com</w:t>
      </w:r>
      <w:r>
        <w:rPr>
          <w:rFonts w:ascii="Times New Roman;Times;serif" w:hAnsi="Times New Roman;Times;serif"/>
          <w:sz w:val="20"/>
        </w:rPr>
        <w:t>, and any successor transfer agent of the Company.</w:t>
      </w:r>
    </w:p>
    <w:p>
      <w:pPr>
        <w:pStyle w:val="TextBody"/>
        <w:bidi w:val="0"/>
        <w:spacing w:lineRule="atLeast" w:line="229" w:before="252" w:after="0"/>
        <w:ind w:left="0" w:right="0" w:firstLine="720"/>
        <w:jc w:val="both"/>
        <w:rPr/>
      </w:pPr>
      <w:r>
        <w:rPr>
          <w:spacing w:val="-1"/>
        </w:rPr>
        <w:t>“</w:t>
      </w:r>
      <w:r>
        <w:rPr>
          <w:rFonts w:ascii="Times New Roman;Times;serif" w:hAnsi="Times New Roman;Times;serif"/>
          <w:spacing w:val="-1"/>
          <w:sz w:val="20"/>
          <w:u w:val="single"/>
        </w:rPr>
        <w:t>VWAP</w:t>
      </w:r>
      <w:r>
        <w:rPr>
          <w:rFonts w:ascii="Times New Roman;Times;serif" w:hAnsi="Times New Roman;Times;serif"/>
          <w:spacing w:val="-1"/>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lineRule="atLeast" w:line="230" w:before="241" w:after="0"/>
        <w:ind w:left="0" w:right="0" w:firstLine="720"/>
        <w:jc w:val="both"/>
        <w:rPr/>
      </w:pPr>
      <w:r>
        <w:rPr/>
        <w:t>“</w:t>
      </w:r>
      <w:r>
        <w:rPr>
          <w:rFonts w:ascii="Times New Roman;Times;serif" w:hAnsi="Times New Roman;Times;serif"/>
          <w:sz w:val="20"/>
          <w:u w:val="single"/>
        </w:rPr>
        <w:t>Warrant Agency Agreement</w:t>
      </w:r>
      <w:r>
        <w:rPr>
          <w:rFonts w:ascii="Times New Roman;Times;serif" w:hAnsi="Times New Roman;Times;serif"/>
          <w:sz w:val="20"/>
        </w:rPr>
        <w:t>” means that certain warrant agency agreement, dated on or about the Initial Exercise Date, between the Company and the Warrant Agent.</w:t>
      </w:r>
    </w:p>
    <w:p>
      <w:pPr>
        <w:pStyle w:val="TextBody"/>
        <w:bidi w:val="0"/>
        <w:spacing w:lineRule="atLeast" w:line="225" w:before="248" w:after="0"/>
        <w:ind w:left="0" w:right="0" w:hanging="0"/>
        <w:jc w:val="center"/>
        <w:rPr/>
      </w:pPr>
      <w:r>
        <w:rPr/>
        <w:t>“</w:t>
      </w:r>
      <w:r>
        <w:rPr>
          <w:rFonts w:ascii="Times New Roman;Times;serif" w:hAnsi="Times New Roman;Times;serif"/>
          <w:sz w:val="20"/>
          <w:u w:val="single"/>
        </w:rPr>
        <w:t>Warrant Agent</w:t>
      </w:r>
      <w:r>
        <w:rPr>
          <w:rFonts w:ascii="Times New Roman;Times;serif" w:hAnsi="Times New Roman;Times;serif"/>
          <w:sz w:val="20"/>
        </w:rPr>
        <w:t>” means the Transfer Agent and any successor warrant agent of the Company.</w:t>
      </w:r>
    </w:p>
    <w:p>
      <w:pPr>
        <w:pStyle w:val="TextBody"/>
        <w:bidi w:val="0"/>
        <w:spacing w:lineRule="atLeast" w:line="230" w:before="238" w:after="0"/>
        <w:ind w:left="0" w:right="0" w:firstLine="720"/>
        <w:jc w:val="both"/>
        <w:rPr/>
      </w:pPr>
      <w:r>
        <w:rPr/>
        <w:t>“</w:t>
      </w:r>
      <w:r>
        <w:rPr>
          <w:rFonts w:ascii="Times New Roman;Times;serif" w:hAnsi="Times New Roman;Times;serif"/>
          <w:sz w:val="20"/>
          <w:u w:val="single"/>
        </w:rPr>
        <w:t>Warrants</w:t>
      </w:r>
      <w:r>
        <w:rPr>
          <w:rFonts w:ascii="Times New Roman;Times;serif" w:hAnsi="Times New Roman;Times;serif"/>
          <w:sz w:val="20"/>
        </w:rPr>
        <w:t>” means this Warrant and other warrants to purchase Common Stock issued by the Company in the offering in which this Warrant was issued.</w:t>
      </w:r>
    </w:p>
    <w:p>
      <w:pPr>
        <w:pStyle w:val="TextBody"/>
        <w:bidi w:val="0"/>
        <w:spacing w:lineRule="atLeast" w:line="225" w:before="248" w:after="544"/>
        <w:ind w:left="720" w:right="0" w:hanging="0"/>
        <w:jc w:val="left"/>
        <w:rPr>
          <w:rFonts w:ascii="Times New Roman;Times;serif" w:hAnsi="Times New Roman;Times;serif"/>
          <w:sz w:val="20"/>
        </w:rPr>
      </w:pPr>
      <w:r>
        <w:rPr>
          <w:rFonts w:ascii="Times New Roman;Times;serif" w:hAnsi="Times New Roman;Times;serif"/>
          <w:sz w:val="20"/>
          <w:u w:val="single"/>
        </w:rPr>
        <w:t>Section 2. Exercise</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23"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pacing w:val="-2"/>
          <w:sz w:val="20"/>
          <w:u w:val="single"/>
        </w:rPr>
        <w:t>Exercise of Warrant</w:t>
      </w:r>
      <w:r>
        <w:rPr>
          <w:rFonts w:ascii="Times New Roman;Times;serif" w:hAnsi="Times New Roman;Times;serif"/>
          <w:spacing w:val="-2"/>
          <w:sz w:val="20"/>
        </w:rPr>
        <w:t>.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w:t>
        <w:softHyphen/>
        <w:t xml:space="preserve">mail attachment) of the Notice of Exercise in the form attached hereto as </w:t>
      </w:r>
      <w:r>
        <w:rPr>
          <w:rFonts w:ascii="Times New Roman;Times;serif" w:hAnsi="Times New Roman;Times;serif"/>
          <w:spacing w:val="-2"/>
          <w:sz w:val="20"/>
          <w:u w:val="single"/>
        </w:rPr>
        <w:t>Exhibit A</w:t>
      </w:r>
      <w:r>
        <w:rPr>
          <w:rFonts w:ascii="Times New Roman;Times;serif" w:hAnsi="Times New Roman;Times;serif"/>
          <w:spacing w:val="-2"/>
          <w:sz w:val="22"/>
        </w:rPr>
        <w:t xml:space="preserve"> </w:t>
      </w:r>
      <w:r>
        <w:rPr>
          <w:rFonts w:ascii="Times New Roman;Times;serif" w:hAnsi="Times New Roman;Times;serif"/>
          <w:spacing w:val="-2"/>
          <w:sz w:val="20"/>
        </w:rPr>
        <w:t>(the “</w:t>
      </w:r>
      <w:r>
        <w:rPr>
          <w:rFonts w:ascii="Times New Roman;Times;serif" w:hAnsi="Times New Roman;Times;serif"/>
          <w:spacing w:val="-2"/>
          <w:sz w:val="20"/>
          <w:u w:val="single"/>
        </w:rPr>
        <w:t>Notice of Exercise</w:t>
      </w:r>
      <w:r>
        <w:rPr>
          <w:rFonts w:ascii="Times New Roman;Times;serif" w:hAnsi="Times New Roman;Times;serif"/>
          <w:spacing w:val="-2"/>
          <w:sz w:val="22"/>
        </w:rPr>
        <w:t>”</w:t>
      </w:r>
      <w:r>
        <w:rPr>
          <w:rFonts w:ascii="Times New Roman;Times;serif" w:hAnsi="Times New Roman;Times;serif"/>
          <w:spacing w:val="-2"/>
          <w:sz w:val="20"/>
        </w:rPr>
        <w:t>).</w:t>
      </w:r>
      <w:r>
        <w:rPr>
          <w:rFonts w:ascii="Times New Roman;Times;serif" w:hAnsi="Times New Roman;Times;serif"/>
          <w:spacing w:val="-2"/>
          <w:sz w:val="22"/>
          <w:u w:val="single"/>
        </w:rPr>
        <w:t xml:space="preserve"> </w:t>
      </w:r>
      <w:r>
        <w:rPr>
          <w:rFonts w:ascii="Times New Roman;Times;serif" w:hAnsi="Times New Roman;Times;serif"/>
          <w:spacing w:val="-2"/>
          <w:sz w:val="20"/>
        </w:rPr>
        <w:t>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spacing w:val="-2"/>
          <w:sz w:val="20"/>
          <w:u w:val="single"/>
        </w:rPr>
        <w:t>Warrant Share Delivery Date</w:t>
      </w:r>
      <w:r>
        <w:rPr>
          <w:rFonts w:ascii="Times New Roman;Times;serif" w:hAnsi="Times New Roman;Times;serif"/>
          <w:spacing w:val="-2"/>
          <w:sz w:val="22"/>
        </w:rPr>
        <w:t>”</w:t>
      </w:r>
      <w:r>
        <w:rPr>
          <w:rFonts w:ascii="Times New Roman;Times;serif" w:hAnsi="Times New Roman;Times;serif"/>
          <w:spacing w:val="-2"/>
          <w:sz w:val="20"/>
        </w:rPr>
        <w:t xml:space="preserve">),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spacing w:val="-2"/>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pStyle w:val="TextBody"/>
        <w:bidi w:val="0"/>
        <w:spacing w:lineRule="atLeast" w:line="230" w:before="236" w:after="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pacing w:val="-2"/>
          <w:sz w:val="20"/>
          <w:u w:val="single"/>
        </w:rPr>
        <w:t>Exercise Price</w:t>
      </w:r>
      <w:r>
        <w:rPr>
          <w:rFonts w:ascii="Times New Roman;Times;serif" w:hAnsi="Times New Roman;Times;serif"/>
          <w:spacing w:val="-2"/>
          <w:sz w:val="20"/>
        </w:rPr>
        <w:t>. The exercise price per share of Common Stock under this Warrant shall be $0.3704, subject to adjustment hereunder (the “</w:t>
      </w:r>
      <w:r>
        <w:rPr>
          <w:rFonts w:ascii="Times New Roman;Times;serif" w:hAnsi="Times New Roman;Times;serif"/>
          <w:spacing w:val="-2"/>
          <w:sz w:val="20"/>
          <w:u w:val="single"/>
        </w:rPr>
        <w:t>Exercise Price</w:t>
      </w:r>
      <w:r>
        <w:rPr>
          <w:rFonts w:ascii="Times New Roman;Times;serif" w:hAnsi="Times New Roman;Times;serif"/>
          <w:spacing w:val="-2"/>
          <w:sz w:val="22"/>
        </w:rPr>
        <w:t>”</w:t>
      </w:r>
      <w:r>
        <w:rPr>
          <w:rFonts w:ascii="Times New Roman;Times;serif" w:hAnsi="Times New Roman;Times;serif"/>
          <w:spacing w:val="-2"/>
          <w:sz w:val="20"/>
        </w:rPr>
        <w:t>). In the event this Warrant is exercised for Pre-Funded Warrants, the exercise price per Pre-Funded Warrant under this Warrant shall be $0.3703, which represents the Exercise Price minus the Pre-Funded Warrant Exercise Price, subject to adjustment hereunder.</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Cashless Exercise</w:t>
      </w:r>
      <w:r>
        <w:rPr>
          <w:rFonts w:ascii="Times New Roman;Times;serif" w:hAnsi="Times New Roman;Times;serif"/>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p>
      <w:pPr>
        <w:pStyle w:val="TextBody"/>
        <w:bidi w:val="0"/>
        <w:spacing w:lineRule="atLeast" w:line="230" w:before="235"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as applicable: (i) the VWAP on the Trading Day immediately preceding the date of the</w:t>
      </w:r>
    </w:p>
    <w:p>
      <w:pPr>
        <w:pStyle w:val="TextBody"/>
        <w:bidi w:val="0"/>
        <w:spacing w:lineRule="atLeast" w:line="230" w:before="5" w:after="0"/>
        <w:ind w:left="1224" w:right="0" w:hanging="0"/>
        <w:jc w:val="both"/>
        <w:rPr>
          <w:rFonts w:ascii="Times New Roman;Times;serif" w:hAnsi="Times New Roman;Times;serif"/>
          <w:spacing w:val="-2"/>
          <w:sz w:val="20"/>
        </w:rPr>
      </w:pPr>
      <w:r>
        <w:rPr>
          <w:rFonts w:ascii="Times New Roman;Times;serif" w:hAnsi="Times New Roman;Times;serif"/>
          <w:spacing w:val="-2"/>
          <w:sz w:val="20"/>
        </w:rPr>
        <w:t>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w:t>
      </w:r>
    </w:p>
    <w:p>
      <w:pPr>
        <w:pStyle w:val="TextBody"/>
        <w:bidi w:val="0"/>
        <w:spacing w:lineRule="atLeast" w:line="230" w:before="183"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1944" w:right="0" w:hanging="0"/>
        <w:jc w:val="both"/>
        <w:rPr>
          <w:rFonts w:ascii="Times New Roman;Times;serif" w:hAnsi="Times New Roman;Times;serif"/>
          <w:spacing w:val="-1"/>
          <w:sz w:val="20"/>
        </w:rPr>
      </w:pPr>
      <w:r>
        <w:rPr>
          <w:rFonts w:ascii="Times New Roman;Times;serif" w:hAnsi="Times New Roman;Times;serif"/>
          <w:spacing w:val="-1"/>
          <w:sz w:val="20"/>
        </w:rPr>
        <w:t>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lineRule="atLeast" w:line="230" w:before="24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the Exercise Price of this Warrant, as adjusted hereunder; and</w:t>
      </w:r>
    </w:p>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lineRule="atLeast" w:line="230" w:before="237" w:after="0"/>
              <w:jc w:val="both"/>
              <w:rPr>
                <w:rFonts w:ascii="Times New Roman;Times;serif" w:hAnsi="Times New Roman;Times;serif"/>
                <w:sz w:val="20"/>
              </w:rPr>
            </w:pPr>
            <w:r>
              <w:rPr>
                <w:rFonts w:ascii="Times New Roman;Times;serif" w:hAnsi="Times New Roman;Times;serif"/>
                <w:sz w:val="20"/>
              </w:rPr>
              <w:t>(X)</w:t>
            </w:r>
          </w:p>
        </w:tc>
        <w:tc>
          <w:tcPr>
            <w:tcW w:w="9934" w:type="dxa"/>
            <w:tcBorders/>
            <w:vAlign w:val="center"/>
          </w:tcPr>
          <w:p>
            <w:pPr>
              <w:pStyle w:val="TableContents"/>
              <w:bidi w:val="0"/>
              <w:spacing w:lineRule="atLeast" w:line="230" w:before="237" w:after="0"/>
              <w:jc w:val="both"/>
              <w:rPr>
                <w:rFonts w:ascii="Times New Roman;Times;serif" w:hAnsi="Times New Roman;Times;serif"/>
                <w:sz w:val="20"/>
              </w:rPr>
            </w:pPr>
            <w:r>
              <w:rPr>
                <w:rFonts w:ascii="Times New Roman;Times;serif" w:hAnsi="Times New Roman;Times;serif"/>
                <w:sz w:val="20"/>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lineRule="atLeast" w:line="230" w:before="242" w:after="0"/>
        <w:ind w:left="0" w:right="0" w:firstLine="720"/>
        <w:jc w:val="both"/>
        <w:rPr>
          <w:rFonts w:ascii="Times New Roman;Times;serif" w:hAnsi="Times New Roman;Times;serif"/>
          <w:sz w:val="20"/>
        </w:rPr>
      </w:pPr>
      <w:r>
        <w:rPr>
          <w:rFonts w:ascii="Times New Roman;Times;serif" w:hAnsi="Times New Roman;Times;serif"/>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lineRule="atLeast" w:line="230" w:before="241" w:after="0"/>
        <w:ind w:left="1440" w:right="0" w:hanging="0"/>
        <w:jc w:val="left"/>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Mechanics of Exercise</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40" w:after="0"/>
        <w:ind w:left="216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Delivery of Warrant Shares Upon Exercise</w:t>
      </w:r>
      <w:r>
        <w:rPr>
          <w:rFonts w:ascii="Times New Roman;Times;serif" w:hAnsi="Times New Roman;Times;serif"/>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sz w:val="20"/>
          <w:u w:val="single"/>
        </w:rPr>
        <w:t>DTC</w:t>
      </w:r>
      <w:r>
        <w:rPr>
          <w:rFonts w:ascii="Times New Roman;Times;serif" w:hAnsi="Times New Roman;Times;serif"/>
          <w:sz w:val="20"/>
        </w:rPr>
        <w:t>”) through its Deposit or Withdrawal at Custodian system (“</w:t>
      </w:r>
      <w:r>
        <w:rPr>
          <w:rFonts w:ascii="Times New Roman;Times;serif" w:hAnsi="Times New Roman;Times;serif"/>
          <w:sz w:val="20"/>
          <w:u w:val="single"/>
        </w:rPr>
        <w:t>DWAC</w:t>
      </w:r>
      <w:r>
        <w:rPr>
          <w:rFonts w:ascii="Times New Roman;Times;serif" w:hAnsi="Times New Roman;Times;serif"/>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sz w:val="20"/>
          <w:u w:val="single"/>
        </w:rPr>
        <w:t>Warrant Share Delivery Date</w:t>
      </w:r>
      <w:r>
        <w:rPr>
          <w:rFonts w:ascii="Times New Roman;Times;serif" w:hAnsi="Times New Roman;Times;serif"/>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sz w:val="20"/>
          <w:u w:val="single"/>
        </w:rPr>
        <w:t>Standard Settlement Period</w:t>
      </w:r>
      <w:r>
        <w:rPr>
          <w:rFonts w:ascii="Times New Roman;Times;serif" w:hAnsi="Times New Roman;Times;serif"/>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lineRule="atLeast" w:line="230" w:before="164"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z w:val="20"/>
          <w:u w:val="single"/>
        </w:rPr>
        <w:t>Delivery of Pre-Funded Warrants Upon Exercise</w:t>
      </w:r>
      <w:r>
        <w:rPr>
          <w:rFonts w:ascii="Times New Roman;Times;serif" w:hAnsi="Times New Roman;Times;serif"/>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sz w:val="20"/>
          <w:u w:val="single"/>
        </w:rPr>
        <w:t>Pre-Funded Warrant Delivery Date</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sz w:val="22"/>
          <w:u w:val="single"/>
        </w:rPr>
        <w:t xml:space="preserve"> </w:t>
      </w:r>
    </w:p>
    <w:p>
      <w:pPr>
        <w:pStyle w:val="TextBody"/>
        <w:bidi w:val="0"/>
        <w:spacing w:lineRule="atLeast" w:line="230" w:before="240" w:after="0"/>
        <w:ind w:left="0" w:right="0" w:hanging="0"/>
        <w:jc w:val="both"/>
        <w:rPr>
          <w:rFonts w:ascii="Times New Roman;Times;serif" w:hAnsi="Times New Roman;Times;serif"/>
          <w:sz w:val="22"/>
        </w:rPr>
      </w:pPr>
      <w:r>
        <w:rPr>
          <w:rFonts w:ascii="Times New Roman;Times;serif" w:hAnsi="Times New Roman;Times;serif"/>
          <w:sz w:val="20"/>
        </w:rPr>
        <w:t>iii.</w:t>
      </w:r>
      <w:r>
        <w:rPr>
          <w:rFonts w:ascii="Times New Roman;Times;serif" w:hAnsi="Times New Roman;Times;serif"/>
          <w:sz w:val="20"/>
          <w:u w:val="single"/>
        </w:rPr>
        <w:t>Delivery of New Warrants Upon Exercise</w:t>
      </w:r>
      <w:r>
        <w:rPr>
          <w:rFonts w:ascii="Times New Roman;Times;serif" w:hAnsi="Times New Roman;Times;serif"/>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iv.</w:t>
      </w:r>
      <w:r>
        <w:rPr>
          <w:rFonts w:ascii="Times New Roman;Times;serif" w:hAnsi="Times New Roman;Times;serif"/>
          <w:sz w:val="20"/>
          <w:u w:val="single"/>
        </w:rPr>
        <w:t>Rescission Rights</w:t>
      </w:r>
      <w:r>
        <w:rPr>
          <w:rFonts w:ascii="Times New Roman;Times;serif" w:hAnsi="Times New Roman;Times;serif"/>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v.</w:t>
      </w:r>
      <w:r>
        <w:rPr>
          <w:rFonts w:ascii="Times New Roman;Times;serif" w:hAnsi="Times New Roman;Times;serif"/>
          <w:spacing w:val="-2"/>
          <w:sz w:val="20"/>
          <w:u w:val="single"/>
        </w:rPr>
        <w:t>Compensation for Buy-In on Failure to Timely Deliver Warrant Shares Upon Exercise</w:t>
      </w:r>
      <w:r>
        <w:rPr>
          <w:rFonts w:ascii="Times New Roman;Times;serif" w:hAnsi="Times New Roman;Times;serif"/>
          <w:spacing w:val="-2"/>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spacing w:val="-2"/>
          <w:sz w:val="20"/>
          <w:u w:val="single"/>
        </w:rPr>
        <w:t>Buy-In</w:t>
      </w:r>
      <w:r>
        <w:rPr>
          <w:rFonts w:ascii="Times New Roman;Times;serif" w:hAnsi="Times New Roman;Times;serif"/>
          <w:spacing w:val="-2"/>
          <w:sz w:val="22"/>
        </w:rPr>
        <w:t>”</w:t>
      </w:r>
      <w:r>
        <w:rPr>
          <w:rFonts w:ascii="Times New Roman;Times;serif" w:hAnsi="Times New Roman;Times;serif"/>
          <w:spacing w:val="-2"/>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w:t>
      </w:r>
    </w:p>
    <w:p>
      <w:pPr>
        <w:pStyle w:val="TextBody"/>
        <w:bidi w:val="0"/>
        <w:spacing w:lineRule="atLeast" w:line="230" w:before="183"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1440" w:right="0" w:hanging="0"/>
        <w:jc w:val="both"/>
        <w:rPr>
          <w:rFonts w:ascii="Times New Roman;Times;serif" w:hAnsi="Times New Roman;Times;serif"/>
          <w:sz w:val="20"/>
        </w:rPr>
      </w:pPr>
      <w:r>
        <w:rPr>
          <w:rFonts w:ascii="Times New Roman;Times;serif" w:hAnsi="Times New Roman;Times;serif"/>
          <w:sz w:val="20"/>
        </w:rPr>
        <w:t>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lineRule="atLeast" w:line="230" w:before="0" w:after="0"/>
        <w:ind w:left="1440" w:right="0" w:hanging="0"/>
        <w:jc w:val="both"/>
        <w:rPr>
          <w:rFonts w:ascii="Times New Roman;Times;serif" w:hAnsi="Times New Roman;Times;serif"/>
          <w:sz w:val="22"/>
        </w:rPr>
      </w:pPr>
      <w:r>
        <w:rPr>
          <w:rFonts w:ascii="Times New Roman;Times;serif" w:hAnsi="Times New Roman;Times;serif"/>
          <w:sz w:val="20"/>
        </w:rPr>
        <w:t>vi.</w:t>
      </w:r>
      <w:r>
        <w:rPr>
          <w:rFonts w:ascii="Times New Roman;Times;serif" w:hAnsi="Times New Roman;Times;serif"/>
          <w:sz w:val="20"/>
          <w:u w:val="single"/>
        </w:rPr>
        <w:t>No Fractional Shares or Scrip</w:t>
      </w:r>
      <w:r>
        <w:rPr>
          <w:rFonts w:ascii="Times New Roman;Times;serif" w:hAnsi="Times New Roman;Times;serif"/>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lineRule="atLeast" w:line="230" w:before="241" w:after="0"/>
        <w:ind w:left="1440" w:right="0" w:hanging="0"/>
        <w:jc w:val="both"/>
        <w:rPr>
          <w:rFonts w:ascii="Times New Roman;Times;serif" w:hAnsi="Times New Roman;Times;serif"/>
          <w:sz w:val="22"/>
        </w:rPr>
      </w:pPr>
      <w:r>
        <w:rPr>
          <w:rFonts w:ascii="Times New Roman;Times;serif" w:hAnsi="Times New Roman;Times;serif"/>
          <w:sz w:val="20"/>
        </w:rPr>
        <w:t>vii.</w:t>
      </w:r>
      <w:r>
        <w:rPr>
          <w:rFonts w:ascii="Times New Roman;Times;serif" w:hAnsi="Times New Roman;Times;serif"/>
          <w:sz w:val="20"/>
          <w:u w:val="single"/>
        </w:rPr>
        <w:t>Charges, Taxes and Expenses</w:t>
      </w:r>
      <w:r>
        <w:rPr>
          <w:rFonts w:ascii="Times New Roman;Times;serif" w:hAnsi="Times New Roman;Times;serif"/>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sz w:val="20"/>
          <w:u w:val="single"/>
        </w:rPr>
        <w:t>Exhibit B</w:t>
      </w:r>
      <w:r>
        <w:rPr>
          <w:rFonts w:ascii="Times New Roman;Times;serif" w:hAnsi="Times New Roman;Times;serif"/>
          <w:sz w:val="22"/>
        </w:rPr>
        <w:t xml:space="preserve"> </w:t>
      </w:r>
      <w:r>
        <w:rPr>
          <w:rFonts w:ascii="Times New Roman;Times;serif" w:hAnsi="Times New Roman;Times;serif"/>
          <w:sz w:val="20"/>
        </w:rPr>
        <w:t>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lineRule="atLeast" w:line="230"/>
        <w:ind w:left="144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Closing of Books</w:t>
      </w:r>
      <w:r>
        <w:rPr>
          <w:rFonts w:ascii="Times New Roman;Times;serif" w:hAnsi="Times New Roman;Times;serif"/>
          <w:sz w:val="20"/>
        </w:rPr>
        <w:t>. The Company will not close its stockholder books or records in any manner which prevents the timely exercise of this Warrant, pursuant to the terms hereof.</w:t>
      </w:r>
    </w:p>
    <w:p>
      <w:pPr>
        <w:pStyle w:val="TextBody"/>
        <w:bidi w:val="0"/>
        <w:spacing w:lineRule="atLeast" w:line="230" w:before="24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e) </w:t>
      </w:r>
      <w:r>
        <w:rPr>
          <w:rFonts w:ascii="Times New Roman;Times;serif" w:hAnsi="Times New Roman;Times;serif"/>
          <w:spacing w:val="-3"/>
          <w:sz w:val="20"/>
          <w:u w:val="single"/>
        </w:rPr>
        <w:t>Holder’s Exercise Limitations</w:t>
      </w:r>
      <w:r>
        <w:rPr>
          <w:rFonts w:ascii="Times New Roman;Times;serif" w:hAnsi="Times New Roman;Times;serif"/>
          <w:spacing w:val="-3"/>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spacing w:val="-3"/>
          <w:sz w:val="20"/>
          <w:u w:val="single"/>
        </w:rPr>
        <w:t>Attribution Parties</w:t>
      </w:r>
      <w:r>
        <w:rPr>
          <w:rFonts w:ascii="Times New Roman;Times;serif" w:hAnsi="Times New Roman;Times;serif"/>
          <w:spacing w:val="-3"/>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w:t>
      </w:r>
    </w:p>
    <w:p>
      <w:pPr>
        <w:pStyle w:val="TextBody"/>
        <w:bidi w:val="0"/>
        <w:spacing w:lineRule="atLeast" w:line="230" w:before="174"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9" w:after="0"/>
        <w:ind w:left="0" w:right="0" w:hanging="0"/>
        <w:jc w:val="both"/>
        <w:rPr>
          <w:rFonts w:ascii="Times New Roman;Times;serif" w:hAnsi="Times New Roman;Times;serif"/>
          <w:spacing w:val="-2"/>
          <w:sz w:val="20"/>
        </w:rPr>
      </w:pPr>
      <w:r>
        <w:rPr>
          <w:rFonts w:ascii="Times New Roman;Times;serif" w:hAnsi="Times New Roman;Times;serif"/>
          <w:spacing w:val="-2"/>
          <w:sz w:val="20"/>
        </w:rPr>
        <w:t>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w:t>
      </w:r>
    </w:p>
    <w:p>
      <w:pPr>
        <w:pStyle w:val="TextBody"/>
        <w:bidi w:val="0"/>
        <w:spacing w:lineRule="atLeast" w:line="230" w:before="236" w:after="0"/>
        <w:ind w:left="0" w:right="0" w:firstLine="720"/>
        <w:jc w:val="both"/>
        <w:rPr>
          <w:rFonts w:ascii="Times New Roman;Times;serif" w:hAnsi="Times New Roman;Times;serif"/>
          <w:sz w:val="20"/>
        </w:rPr>
      </w:pPr>
      <w:r>
        <w:rPr>
          <w:rFonts w:ascii="Times New Roman;Times;serif" w:hAnsi="Times New Roman;Times;serif"/>
          <w:spacing w:val="1"/>
          <w:sz w:val="20"/>
        </w:rPr>
        <w:t>a) The “</w:t>
      </w:r>
      <w:r>
        <w:rPr>
          <w:rFonts w:ascii="Times New Roman;Times;serif" w:hAnsi="Times New Roman;Times;serif"/>
          <w:spacing w:val="1"/>
          <w:sz w:val="20"/>
          <w:u w:val="single"/>
        </w:rPr>
        <w:t>Beneficial Ownership Limitation</w:t>
      </w:r>
      <w:r>
        <w:rPr>
          <w:rFonts w:ascii="Times New Roman;Times;serif" w:hAnsi="Times New Roman;Times;serif"/>
          <w:spacing w:val="1"/>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spacing w:val="1"/>
          <w:sz w:val="15"/>
        </w:rPr>
        <w:t>st</w:t>
      </w:r>
      <w:r>
        <w:rPr>
          <w:rFonts w:ascii="Times New Roman;Times;serif" w:hAnsi="Times New Roman;Times;serif"/>
          <w:spacing w:val="1"/>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lineRule="atLeast" w:line="230" w:before="246" w:after="0"/>
        <w:ind w:left="0" w:right="0" w:hanging="0"/>
        <w:jc w:val="left"/>
        <w:rPr>
          <w:rFonts w:ascii="Times New Roman;Times;serif" w:hAnsi="Times New Roman;Times;serif"/>
          <w:sz w:val="20"/>
        </w:rPr>
      </w:pPr>
      <w:r>
        <w:rPr>
          <w:rFonts w:ascii="Times New Roman;Times;serif" w:hAnsi="Times New Roman;Times;serif"/>
          <w:sz w:val="20"/>
          <w:u w:val="single"/>
        </w:rPr>
        <w:t>Section 3. Certain Adjustments</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37" w:after="0"/>
        <w:ind w:left="0" w:right="0" w:firstLine="720"/>
        <w:jc w:val="both"/>
        <w:rPr>
          <w:rFonts w:ascii="Times New Roman;Times;serif" w:hAnsi="Times New Roman;Times;serif"/>
          <w:sz w:val="20"/>
        </w:rPr>
      </w:pPr>
      <w:r>
        <w:rPr>
          <w:rFonts w:ascii="Times New Roman;Times;serif" w:hAnsi="Times New Roman;Times;serif"/>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spacing w:lineRule="atLeast" w:line="230" w:before="240" w:after="0"/>
        <w:ind w:left="1440" w:right="0" w:firstLine="720"/>
        <w:jc w:val="both"/>
        <w:rPr>
          <w:rFonts w:ascii="Times New Roman;Times;serif" w:hAnsi="Times New Roman;Times;serif"/>
          <w:sz w:val="20"/>
        </w:rPr>
      </w:pPr>
      <w:r>
        <w:rPr>
          <w:rFonts w:ascii="Times New Roman;Times;serif" w:hAnsi="Times New Roman;Times;serif"/>
          <w:spacing w:val="-1"/>
          <w:sz w:val="20"/>
        </w:rPr>
        <w:t xml:space="preserve">i. </w:t>
      </w:r>
      <w:r>
        <w:rPr>
          <w:rFonts w:ascii="Times New Roman;Times;serif" w:hAnsi="Times New Roman;Times;serif"/>
          <w:spacing w:val="-1"/>
          <w:sz w:val="20"/>
          <w:u w:val="single"/>
        </w:rPr>
        <w:t>Stock Dividends and Splits</w:t>
      </w:r>
      <w:r>
        <w:rPr>
          <w:rFonts w:ascii="Times New Roman;Times;serif" w:hAnsi="Times New Roman;Times;serif"/>
          <w:spacing w:val="-1"/>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w:t>
      </w:r>
    </w:p>
    <w:p>
      <w:pPr>
        <w:pStyle w:val="TextBody"/>
        <w:bidi w:val="0"/>
        <w:spacing w:lineRule="atLeast" w:line="230" w:before="174"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0" w:right="0" w:hanging="0"/>
        <w:jc w:val="both"/>
        <w:rPr>
          <w:rFonts w:ascii="Times New Roman;Times;serif" w:hAnsi="Times New Roman;Times;serif"/>
          <w:sz w:val="20"/>
        </w:rPr>
      </w:pPr>
      <w:r>
        <w:rPr>
          <w:rFonts w:ascii="Times New Roman;Times;serif" w:hAnsi="Times New Roman;Times;serif"/>
          <w:sz w:val="20"/>
        </w:rPr>
        <w:t>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pacing w:val="-1"/>
          <w:sz w:val="20"/>
          <w:u w:val="single"/>
        </w:rPr>
        <w:t>Subsequent Rights Offerings</w:t>
      </w:r>
      <w:r>
        <w:rPr>
          <w:rFonts w:ascii="Times New Roman;Times;serif" w:hAnsi="Times New Roman;Times;serif"/>
          <w:spacing w:val="-1"/>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spacing w:val="-1"/>
          <w:sz w:val="20"/>
          <w:u w:val="single"/>
        </w:rPr>
        <w:t>Purchase Rights</w:t>
      </w:r>
      <w:r>
        <w:rPr>
          <w:rFonts w:ascii="Times New Roman;Times;serif" w:hAnsi="Times New Roman;Times;serif"/>
          <w:spacing w:val="-1"/>
          <w:sz w:val="22"/>
        </w:rPr>
        <w:t>”</w:t>
      </w:r>
      <w:r>
        <w:rPr>
          <w:rFonts w:ascii="Times New Roman;Times;serif" w:hAnsi="Times New Roman;Times;serif"/>
          <w:spacing w:val="-1"/>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spacing w:val="-1"/>
          <w:sz w:val="20"/>
          <w:u w:val="single"/>
        </w:rPr>
        <w:t>provided</w:t>
      </w:r>
      <w:r>
        <w:rPr>
          <w:rFonts w:ascii="Times New Roman;Times;serif" w:hAnsi="Times New Roman;Times;serif"/>
          <w:spacing w:val="-1"/>
          <w:sz w:val="20"/>
        </w:rPr>
        <w:t xml:space="preserve">, </w:t>
      </w:r>
      <w:r>
        <w:rPr>
          <w:rFonts w:ascii="Times New Roman;Times;serif" w:hAnsi="Times New Roman;Times;serif"/>
          <w:spacing w:val="-1"/>
          <w:sz w:val="20"/>
          <w:u w:val="single"/>
        </w:rPr>
        <w:t>however</w:t>
      </w:r>
      <w:r>
        <w:rPr>
          <w:rFonts w:ascii="Times New Roman;Times;serif" w:hAnsi="Times New Roman;Times;serif"/>
          <w:spacing w:val="-1"/>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iii.</w:t>
      </w:r>
      <w:r>
        <w:rPr>
          <w:rFonts w:ascii="Times New Roman;Times;serif" w:hAnsi="Times New Roman;Times;serif"/>
          <w:sz w:val="20"/>
          <w:u w:val="single"/>
        </w:rPr>
        <w:t>Pro Rata Distributions</w:t>
      </w:r>
      <w:r>
        <w:rPr>
          <w:rFonts w:ascii="Times New Roman;Times;serif" w:hAnsi="Times New Roman;Times;serif"/>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sz w:val="20"/>
          <w:u w:val="single"/>
        </w:rPr>
        <w:t>Distribution</w:t>
      </w:r>
      <w:r>
        <w:rPr>
          <w:rFonts w:ascii="Times New Roman;Times;serif" w:hAnsi="Times New Roman;Times;serif"/>
          <w:sz w:val="22"/>
        </w:rPr>
        <w:t>”</w:t>
      </w:r>
      <w:r>
        <w:rPr>
          <w:rFonts w:ascii="Times New Roman;Times;serif" w:hAnsi="Times New Roman;Times;serif"/>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lineRule="atLeast" w:line="230" w:before="243" w:after="283"/>
        <w:ind w:left="0" w:right="0" w:hanging="0"/>
        <w:jc w:val="both"/>
        <w:rPr>
          <w:rFonts w:ascii="Times New Roman;Times;serif" w:hAnsi="Times New Roman;Times;serif"/>
          <w:sz w:val="22"/>
        </w:rPr>
      </w:pPr>
      <w:r>
        <w:rPr>
          <w:rFonts w:ascii="Times New Roman;Times;serif" w:hAnsi="Times New Roman;Times;serif"/>
          <w:sz w:val="20"/>
        </w:rPr>
        <w:t>iv.</w:t>
      </w:r>
      <w:r>
        <w:rPr>
          <w:rFonts w:ascii="Times New Roman;Times;serif" w:hAnsi="Times New Roman;Times;serif"/>
          <w:spacing w:val="-2"/>
          <w:sz w:val="20"/>
          <w:u w:val="single"/>
        </w:rPr>
        <w:t>Fundamental Transaction</w:t>
      </w:r>
      <w:r>
        <w:rPr>
          <w:rFonts w:ascii="Times New Roman;Times;serif" w:hAnsi="Times New Roman;Times;serif"/>
          <w:spacing w:val="-2"/>
          <w:sz w:val="20"/>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w:t>
      </w:r>
    </w:p>
    <w:p>
      <w:pPr>
        <w:pStyle w:val="TextBody"/>
        <w:bidi w:val="0"/>
        <w:spacing w:lineRule="atLeast" w:line="230" w:before="183"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4" w:after="0"/>
        <w:ind w:left="0" w:right="0" w:hanging="0"/>
        <w:jc w:val="both"/>
        <w:rPr>
          <w:rFonts w:ascii="Times New Roman;Times;serif" w:hAnsi="Times New Roman;Times;serif"/>
          <w:sz w:val="20"/>
        </w:rPr>
      </w:pPr>
      <w:r>
        <w:rPr>
          <w:rFonts w:ascii="Times New Roman;Times;serif" w:hAnsi="Times New Roman;Times;serif"/>
          <w:spacing w:val="-2"/>
          <w:sz w:val="20"/>
        </w:rPr>
        <w:t>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spacing w:val="-2"/>
          <w:sz w:val="20"/>
          <w:u w:val="single"/>
        </w:rPr>
        <w:t>Fundamental Transaction</w:t>
      </w:r>
      <w:r>
        <w:rPr>
          <w:rFonts w:ascii="Times New Roman;Times;serif" w:hAnsi="Times New Roman;Times;serif"/>
          <w:spacing w:val="-2"/>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spacing w:val="-2"/>
          <w:sz w:val="20"/>
          <w:u w:val="single"/>
        </w:rPr>
        <w:t>Alternate Consideration</w:t>
      </w:r>
      <w:r>
        <w:rPr>
          <w:rFonts w:ascii="Times New Roman;Times;serif" w:hAnsi="Times New Roman;Times;serif"/>
          <w:spacing w:val="-2"/>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w:t>
      </w:r>
    </w:p>
    <w:p>
      <w:pPr>
        <w:pStyle w:val="TextBody"/>
        <w:bidi w:val="0"/>
        <w:spacing w:lineRule="atLeast" w:line="230" w:before="217"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5" w:after="0"/>
        <w:ind w:left="0" w:right="0" w:hanging="0"/>
        <w:jc w:val="both"/>
        <w:rPr>
          <w:rFonts w:ascii="Times New Roman;Times;serif" w:hAnsi="Times New Roman;Times;serif"/>
          <w:sz w:val="20"/>
        </w:rPr>
      </w:pPr>
      <w:r>
        <w:rPr>
          <w:rFonts w:ascii="Times New Roman;Times;serif" w:hAnsi="Times New Roman;Times;serif"/>
          <w:spacing w:val="-2"/>
          <w:sz w:val="20"/>
        </w:rPr>
        <w:t>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spacing w:val="-2"/>
          <w:sz w:val="20"/>
          <w:u w:val="single"/>
        </w:rPr>
        <w:t>Black Scholes Value</w:t>
      </w:r>
      <w:r>
        <w:rPr>
          <w:rFonts w:ascii="Times New Roman;Times;serif" w:hAnsi="Times New Roman;Times;serif"/>
          <w:spacing w:val="-2"/>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spacing w:val="-2"/>
          <w:sz w:val="20"/>
          <w:u w:val="single"/>
        </w:rPr>
        <w:t>Successor Entity</w:t>
      </w:r>
      <w:r>
        <w:rPr>
          <w:rFonts w:ascii="Times New Roman;Times;serif" w:hAnsi="Times New Roman;Times;serif"/>
          <w:spacing w:val="-2"/>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lineRule="atLeast" w:line="230" w:before="217"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8" w:after="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Calculations</w:t>
      </w:r>
      <w:r>
        <w:rPr>
          <w:rFonts w:ascii="Times New Roman;Times;serif" w:hAnsi="Times New Roman;Times;serif"/>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lineRule="atLeast" w:line="230" w:before="242" w:after="0"/>
        <w:ind w:left="720" w:right="0" w:hanging="0"/>
        <w:jc w:val="left"/>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Notice to Holder</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0" w:after="0"/>
        <w:ind w:left="144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Adjustment to Exercise Price</w:t>
      </w:r>
      <w:r>
        <w:rPr>
          <w:rFonts w:ascii="Times New Roman;Times;serif" w:hAnsi="Times New Roman;Times;serif"/>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w:t>
      </w:r>
    </w:p>
    <w:p>
      <w:pPr>
        <w:pStyle w:val="TextBody"/>
        <w:bidi w:val="0"/>
        <w:spacing w:lineRule="atLeast" w:line="230" w:before="238" w:after="283"/>
        <w:ind w:left="1440" w:right="0" w:hanging="0"/>
        <w:jc w:val="both"/>
        <w:rPr>
          <w:rFonts w:ascii="Times New Roman;Times;serif" w:hAnsi="Times New Roman;Times;serif"/>
          <w:sz w:val="22"/>
        </w:rPr>
      </w:pPr>
      <w:r>
        <w:rPr>
          <w:rFonts w:ascii="Times New Roman;Times;serif" w:hAnsi="Times New Roman;Times;serif"/>
          <w:sz w:val="20"/>
        </w:rPr>
        <w:t>ii.</w:t>
      </w:r>
      <w:r>
        <w:rPr>
          <w:rFonts w:ascii="Times New Roman;Times;serif" w:hAnsi="Times New Roman;Times;serif"/>
          <w:sz w:val="20"/>
          <w:u w:val="single"/>
        </w:rPr>
        <w:t>Notice to Allow Exercise by Holder</w:t>
      </w:r>
      <w:r>
        <w:rPr>
          <w:rFonts w:ascii="Times New Roman;Times;serif" w:hAnsi="Times New Roman;Times;serif"/>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sz w:val="20"/>
          <w:u w:val="single"/>
        </w:rPr>
        <w:t>provided</w:t>
      </w:r>
      <w:r>
        <w:rPr>
          <w:rFonts w:ascii="Times New Roman;Times;serif" w:hAnsi="Times New Roman;Times;serif"/>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lineRule="atLeast" w:line="230" w:before="244" w:after="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Certain Events</w:t>
      </w:r>
      <w:r>
        <w:rPr>
          <w:rFonts w:ascii="Times New Roman;Times;serif" w:hAnsi="Times New Roman;Times;serif"/>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lineRule="atLeast" w:line="230" w:before="241" w:after="150"/>
        <w:ind w:left="0" w:right="0" w:hanging="0"/>
        <w:jc w:val="left"/>
        <w:rPr>
          <w:rFonts w:ascii="Times New Roman;Times;serif" w:hAnsi="Times New Roman;Times;serif"/>
          <w:sz w:val="20"/>
        </w:rPr>
      </w:pPr>
      <w:r>
        <w:rPr>
          <w:rFonts w:ascii="Times New Roman;Times;serif" w:hAnsi="Times New Roman;Times;serif"/>
          <w:sz w:val="20"/>
          <w:u w:val="single"/>
        </w:rPr>
        <w:t>Section 4. Transfer of Warrant</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a)</w:t>
      </w:r>
      <w:r>
        <w:rPr>
          <w:rFonts w:ascii="Times New Roman;Times;serif" w:hAnsi="Times New Roman;Times;serif"/>
          <w:spacing w:val="-2"/>
          <w:sz w:val="20"/>
          <w:u w:val="single"/>
        </w:rPr>
        <w:t>Transferability</w:t>
      </w:r>
      <w:r>
        <w:rPr>
          <w:rFonts w:ascii="Times New Roman;Times;serif" w:hAnsi="Times New Roman;Times;serif"/>
          <w:spacing w:val="-2"/>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w:t>
      </w:r>
    </w:p>
    <w:p>
      <w:pPr>
        <w:pStyle w:val="TextBody"/>
        <w:bidi w:val="0"/>
        <w:spacing w:lineRule="atLeast" w:line="230" w:before="238" w:after="0"/>
        <w:ind w:left="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pacing w:val="-2"/>
          <w:sz w:val="20"/>
          <w:u w:val="single"/>
        </w:rPr>
        <w:t>New Warrants.</w:t>
      </w:r>
      <w:r>
        <w:rPr>
          <w:rFonts w:ascii="Times New Roman;Times;serif" w:hAnsi="Times New Roman;Times;serif"/>
          <w:spacing w:val="-2"/>
          <w:sz w:val="22"/>
        </w:rPr>
        <w:t xml:space="preserve"> </w:t>
      </w:r>
      <w:r>
        <w:rPr>
          <w:rFonts w:ascii="Times New Roman;Times;serif" w:hAnsi="Times New Roman;Times;serif"/>
          <w:spacing w:val="-2"/>
          <w:sz w:val="20"/>
        </w:rPr>
        <w:t>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w:t>
      </w:r>
    </w:p>
    <w:p>
      <w:pPr>
        <w:pStyle w:val="TextBody"/>
        <w:bidi w:val="0"/>
        <w:spacing w:lineRule="atLeast" w:line="230" w:before="242" w:after="0"/>
        <w:ind w:left="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Warrant Register</w:t>
      </w:r>
      <w:r>
        <w:rPr>
          <w:rFonts w:ascii="Times New Roman;Times;serif" w:hAnsi="Times New Roman;Times;serif"/>
          <w:sz w:val="20"/>
        </w:rPr>
        <w:t>. The Warrant Agent shall register this Warrant, upon records to be maintained by the Warrant Agent for that purpose (the “</w:t>
      </w:r>
      <w:r>
        <w:rPr>
          <w:rFonts w:ascii="Times New Roman;Times;serif" w:hAnsi="Times New Roman;Times;serif"/>
          <w:sz w:val="20"/>
          <w:u w:val="single"/>
        </w:rPr>
        <w:t>Warrant Register</w:t>
      </w:r>
      <w:r>
        <w:rPr>
          <w:rFonts w:ascii="Times New Roman;Times;serif" w:hAnsi="Times New Roman;Times;serif"/>
          <w:sz w:val="22"/>
        </w:rPr>
        <w:t>”</w:t>
      </w:r>
      <w:r>
        <w:rPr>
          <w:rFonts w:ascii="Times New Roman;Times;serif" w:hAnsi="Times New Roman;Times;serif"/>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lineRule="atLeast" w:line="230" w:before="240" w:after="0"/>
        <w:ind w:left="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Transfer Restrictions</w:t>
      </w:r>
      <w:r>
        <w:rPr>
          <w:rFonts w:ascii="Times New Roman;Times;serif" w:hAnsi="Times New Roman;Times;serif"/>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lineRule="atLeast" w:line="230" w:before="237" w:after="283"/>
        <w:ind w:left="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pacing w:val="1"/>
          <w:sz w:val="20"/>
          <w:u w:val="single"/>
        </w:rPr>
        <w:t>Representation by the Holder</w:t>
      </w:r>
      <w:r>
        <w:rPr>
          <w:rFonts w:ascii="Times New Roman;Times;serif" w:hAnsi="Times New Roman;Times;serif"/>
          <w:spacing w:val="1"/>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lineRule="atLeast" w:line="230" w:before="243" w:after="0"/>
        <w:ind w:left="0" w:right="0" w:hanging="0"/>
        <w:jc w:val="left"/>
        <w:rPr>
          <w:rFonts w:ascii="Times New Roman;Times;serif" w:hAnsi="Times New Roman;Times;serif"/>
          <w:sz w:val="20"/>
        </w:rPr>
      </w:pPr>
      <w:r>
        <w:rPr>
          <w:rFonts w:ascii="Times New Roman;Times;serif" w:hAnsi="Times New Roman;Times;serif"/>
          <w:sz w:val="20"/>
          <w:u w:val="single"/>
        </w:rPr>
        <w:t>Section 5. Miscellaneous</w:t>
      </w:r>
      <w:r>
        <w:rPr>
          <w:rFonts w:ascii="Times New Roman;Times;serif" w:hAnsi="Times New Roman;Times;serif"/>
          <w:sz w:val="20"/>
        </w:rPr>
        <w:t>.</w:t>
      </w:r>
      <w:r>
        <w:rPr>
          <w:rFonts w:ascii="Times New Roman;Times;serif" w:hAnsi="Times New Roman;Times;serif"/>
          <w:sz w:val="20"/>
          <w:u w:val="single"/>
        </w:rPr>
        <w:t xml:space="preserve"> </w:t>
      </w:r>
    </w:p>
    <w:p>
      <w:pPr>
        <w:pStyle w:val="TextBody"/>
        <w:bidi w:val="0"/>
        <w:spacing w:lineRule="atLeast" w:line="230" w:before="239" w:after="618"/>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Rights as Stockholder Until Exercise</w:t>
      </w:r>
      <w:r>
        <w:rPr>
          <w:rFonts w:ascii="Times New Roman;Times;serif" w:hAnsi="Times New Roman;Times;serif"/>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618"/>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0" w:after="0"/>
        <w:ind w:left="720" w:right="0" w:hanging="0"/>
        <w:jc w:val="both"/>
        <w:rPr>
          <w:rFonts w:ascii="Times New Roman;Times;serif" w:hAnsi="Times New Roman;Times;serif"/>
          <w:sz w:val="22"/>
        </w:rPr>
      </w:pPr>
      <w:r>
        <w:rPr>
          <w:rFonts w:ascii="Times New Roman;Times;serif" w:hAnsi="Times New Roman;Times;serif"/>
          <w:sz w:val="20"/>
        </w:rPr>
        <w:t>b)</w:t>
      </w:r>
      <w:r>
        <w:rPr>
          <w:rFonts w:ascii="Times New Roman;Times;serif" w:hAnsi="Times New Roman;Times;serif"/>
          <w:sz w:val="20"/>
          <w:u w:val="single"/>
        </w:rPr>
        <w:t>Loss, Theft, Destruction or Mutilation of Warrant</w:t>
      </w:r>
      <w:r>
        <w:rPr>
          <w:rFonts w:ascii="Times New Roman;Times;serif" w:hAnsi="Times New Roman;Times;serif"/>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lineRule="atLeast" w:line="230" w:before="237" w:after="0"/>
        <w:ind w:left="720" w:right="0" w:hanging="0"/>
        <w:jc w:val="both"/>
        <w:rPr>
          <w:rFonts w:ascii="Times New Roman;Times;serif" w:hAnsi="Times New Roman;Times;serif"/>
          <w:sz w:val="22"/>
        </w:rPr>
      </w:pPr>
      <w:r>
        <w:rPr>
          <w:rFonts w:ascii="Times New Roman;Times;serif" w:hAnsi="Times New Roman;Times;serif"/>
          <w:sz w:val="20"/>
        </w:rPr>
        <w:t>c)</w:t>
      </w:r>
      <w:r>
        <w:rPr>
          <w:rFonts w:ascii="Times New Roman;Times;serif" w:hAnsi="Times New Roman;Times;serif"/>
          <w:sz w:val="20"/>
          <w:u w:val="single"/>
        </w:rPr>
        <w:t>Saturdays, Sundays, Holidays, etc</w:t>
      </w:r>
      <w:r>
        <w:rPr>
          <w:rFonts w:ascii="Times New Roman;Times;serif" w:hAnsi="Times New Roman;Times;serif"/>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lineRule="atLeast" w:line="230" w:before="240" w:after="283"/>
        <w:ind w:left="720" w:right="0" w:hanging="0"/>
        <w:jc w:val="both"/>
        <w:rPr>
          <w:rFonts w:ascii="Times New Roman;Times;serif" w:hAnsi="Times New Roman;Times;serif"/>
          <w:sz w:val="22"/>
        </w:rPr>
      </w:pPr>
      <w:r>
        <w:rPr>
          <w:rFonts w:ascii="Times New Roman;Times;serif" w:hAnsi="Times New Roman;Times;serif"/>
          <w:sz w:val="20"/>
        </w:rPr>
        <w:t>d)</w:t>
      </w:r>
      <w:r>
        <w:rPr>
          <w:rFonts w:ascii="Times New Roman;Times;serif" w:hAnsi="Times New Roman;Times;serif"/>
          <w:sz w:val="20"/>
          <w:u w:val="single"/>
        </w:rPr>
        <w:t>Authorized Shares</w:t>
      </w:r>
      <w:r>
        <w:rPr>
          <w:rFonts w:ascii="Times New Roman;Times;serif" w:hAnsi="Times New Roman;Times;serif"/>
          <w:sz w:val="20"/>
        </w:rPr>
        <w:t>.</w:t>
      </w:r>
      <w:r>
        <w:rPr>
          <w:rFonts w:ascii="Times New Roman;Times;serif" w:hAnsi="Times New Roman;Times;serif"/>
          <w:sz w:val="22"/>
          <w:u w:val="single"/>
        </w:rPr>
        <w:t xml:space="preserve"> </w:t>
      </w:r>
    </w:p>
    <w:p>
      <w:pPr>
        <w:pStyle w:val="TextBody"/>
        <w:bidi w:val="0"/>
        <w:spacing w:lineRule="atLeast" w:line="230" w:before="241" w:after="0"/>
        <w:ind w:left="0" w:right="0" w:firstLine="720"/>
        <w:jc w:val="both"/>
        <w:rPr>
          <w:rFonts w:ascii="Times New Roman;Times;serif" w:hAnsi="Times New Roman;Times;serif"/>
          <w:sz w:val="20"/>
        </w:rPr>
      </w:pPr>
      <w:r>
        <w:rPr>
          <w:rFonts w:ascii="Times New Roman;Times;serif" w:hAnsi="Times New Roman;Times;serif"/>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lineRule="atLeast" w:line="230" w:before="240" w:after="0"/>
        <w:ind w:left="0" w:right="0" w:firstLine="720"/>
        <w:jc w:val="both"/>
        <w:rPr>
          <w:rFonts w:ascii="Times New Roman;Times;serif" w:hAnsi="Times New Roman;Times;serif"/>
          <w:sz w:val="20"/>
        </w:rPr>
      </w:pPr>
      <w:r>
        <w:rPr>
          <w:rFonts w:ascii="Times New Roman;Times;serif" w:hAnsi="Times New Roman;Times;serif"/>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lineRule="atLeast" w:line="230" w:before="236" w:after="0"/>
        <w:ind w:left="0" w:right="0" w:firstLine="720"/>
        <w:jc w:val="both"/>
        <w:rPr>
          <w:rFonts w:ascii="Times New Roman;Times;serif" w:hAnsi="Times New Roman;Times;serif"/>
          <w:sz w:val="20"/>
        </w:rPr>
      </w:pPr>
      <w:r>
        <w:rPr>
          <w:rFonts w:ascii="Times New Roman;Times;serif" w:hAnsi="Times New Roman;Times;serif"/>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lineRule="atLeast" w:line="230"/>
        <w:ind w:left="72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pacing w:val="-2"/>
          <w:sz w:val="20"/>
          <w:u w:val="single"/>
        </w:rPr>
        <w:t>Governing Law</w:t>
      </w:r>
      <w:r>
        <w:rPr>
          <w:rFonts w:ascii="Times New Roman;Times;serif" w:hAnsi="Times New Roman;Times;serif"/>
          <w:spacing w:val="-2"/>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w:t>
      </w:r>
    </w:p>
    <w:p>
      <w:pPr>
        <w:pStyle w:val="TextBody"/>
        <w:bidi w:val="0"/>
        <w:spacing w:lineRule="atLeast" w:line="230" w:before="154"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6" w:after="0"/>
        <w:ind w:left="0" w:right="0" w:hanging="0"/>
        <w:jc w:val="both"/>
        <w:rPr>
          <w:rFonts w:ascii="Times New Roman;Times;serif" w:hAnsi="Times New Roman;Times;serif"/>
          <w:sz w:val="20"/>
        </w:rPr>
      </w:pPr>
      <w:r>
        <w:rPr>
          <w:rFonts w:ascii="Times New Roman;Times;serif" w:hAnsi="Times New Roman;Times;serif"/>
          <w:sz w:val="20"/>
        </w:rPr>
        <w:t>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lineRule="atLeast" w:line="230" w:before="0" w:after="0"/>
        <w:ind w:left="0" w:right="0" w:hanging="0"/>
        <w:jc w:val="both"/>
        <w:rPr>
          <w:rFonts w:ascii="Times New Roman;Times;serif" w:hAnsi="Times New Roman;Times;serif"/>
          <w:sz w:val="22"/>
        </w:rPr>
      </w:pPr>
      <w:r>
        <w:rPr>
          <w:rFonts w:ascii="Times New Roman;Times;serif" w:hAnsi="Times New Roman;Times;serif"/>
          <w:sz w:val="20"/>
        </w:rPr>
        <w:t>f)</w:t>
      </w:r>
      <w:r>
        <w:rPr>
          <w:rFonts w:ascii="Times New Roman;Times;serif" w:hAnsi="Times New Roman;Times;serif"/>
          <w:sz w:val="20"/>
          <w:u w:val="single"/>
        </w:rPr>
        <w:t>Restrictions</w:t>
      </w:r>
      <w:r>
        <w:rPr>
          <w:rFonts w:ascii="Times New Roman;Times;serif" w:hAnsi="Times New Roman;Times;serif"/>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lineRule="atLeast" w:line="230" w:before="239" w:after="0"/>
        <w:ind w:left="0" w:right="0" w:hanging="0"/>
        <w:jc w:val="both"/>
        <w:rPr>
          <w:rFonts w:ascii="Times New Roman;Times;serif" w:hAnsi="Times New Roman;Times;serif"/>
          <w:sz w:val="22"/>
        </w:rPr>
      </w:pPr>
      <w:r>
        <w:rPr>
          <w:rFonts w:ascii="Times New Roman;Times;serif" w:hAnsi="Times New Roman;Times;serif"/>
          <w:sz w:val="20"/>
        </w:rPr>
        <w:t>g)</w:t>
      </w:r>
      <w:r>
        <w:rPr>
          <w:rFonts w:ascii="Times New Roman;Times;serif" w:hAnsi="Times New Roman;Times;serif"/>
          <w:sz w:val="20"/>
          <w:u w:val="single"/>
        </w:rPr>
        <w:t>Nonwaiver and Expenses</w:t>
      </w:r>
      <w:r>
        <w:rPr>
          <w:rFonts w:ascii="Times New Roman;Times;serif" w:hAnsi="Times New Roman;Times;serif"/>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lineRule="atLeast" w:line="230" w:before="237" w:after="0"/>
        <w:ind w:left="0" w:right="0" w:hanging="0"/>
        <w:jc w:val="both"/>
        <w:rPr>
          <w:rFonts w:ascii="Times New Roman;Times;serif" w:hAnsi="Times New Roman;Times;serif"/>
          <w:sz w:val="22"/>
        </w:rPr>
      </w:pPr>
      <w:r>
        <w:rPr>
          <w:rFonts w:ascii="Times New Roman;Times;serif" w:hAnsi="Times New Roman;Times;serif"/>
          <w:sz w:val="20"/>
        </w:rPr>
        <w:t>h)</w:t>
      </w:r>
      <w:r>
        <w:rPr>
          <w:rFonts w:ascii="Times New Roman;Times;serif" w:hAnsi="Times New Roman;Times;serif"/>
          <w:spacing w:val="-2"/>
          <w:sz w:val="20"/>
          <w:u w:val="single"/>
        </w:rPr>
        <w:t>Notices</w:t>
      </w:r>
      <w:r>
        <w:rPr>
          <w:rFonts w:ascii="Times New Roman;Times;serif" w:hAnsi="Times New Roman;Times;serif"/>
          <w:spacing w:val="-2"/>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John Bencich , e-mail address: [***]</w:t>
      </w:r>
      <w:r>
        <w:rPr>
          <w:rFonts w:ascii="Times New Roman;Times;serif" w:hAnsi="Times New Roman;Times;serif"/>
          <w:color w:val="0000FF"/>
          <w:spacing w:val="-2"/>
          <w:sz w:val="20"/>
        </w:rPr>
        <w:t>,</w:t>
      </w:r>
      <w:r>
        <w:rPr>
          <w:rFonts w:ascii="Times New Roman;Times;serif" w:hAnsi="Times New Roman;Times;serif"/>
          <w:spacing w:val="-2"/>
          <w:sz w:val="22"/>
        </w:rPr>
        <w:t xml:space="preserve"> </w:t>
      </w:r>
      <w:r>
        <w:rPr>
          <w:rFonts w:ascii="Times New Roman;Times;serif" w:hAnsi="Times New Roman;Times;serif"/>
          <w:spacing w:val="-2"/>
          <w:sz w:val="20"/>
        </w:rPr>
        <w:t>or such other e-mail address or address as the Company may specify for such purposes by notice to the Holders; and addressed to the Warrant Agent, at 1 State Street 30</w:t>
      </w:r>
      <w:r>
        <w:rPr>
          <w:rFonts w:ascii="Times New Roman;Times;serif" w:hAnsi="Times New Roman;Times;serif"/>
          <w:spacing w:val="-2"/>
          <w:sz w:val="15"/>
        </w:rPr>
        <w:t>th</w:t>
      </w:r>
      <w:r>
        <w:rPr>
          <w:rFonts w:ascii="Times New Roman;Times;serif" w:hAnsi="Times New Roman;Times;serif"/>
          <w:spacing w:val="-2"/>
          <w:sz w:val="22"/>
        </w:rPr>
        <w:t xml:space="preserve"> </w:t>
      </w:r>
      <w:r>
        <w:rPr>
          <w:rFonts w:ascii="Times New Roman;Times;serif" w:hAnsi="Times New Roman;Times;serif"/>
          <w:spacing w:val="-2"/>
          <w:sz w:val="20"/>
        </w:rPr>
        <w:t>Floor, New York, NY 10004, Attention: Henry Farrell, email address:</w:t>
      </w:r>
      <w:r>
        <w:rPr>
          <w:rFonts w:ascii="Times New Roman;Times;serif" w:hAnsi="Times New Roman;Times;serif"/>
          <w:color w:val="0000FF"/>
          <w:spacing w:val="-2"/>
          <w:sz w:val="22"/>
          <w:u w:val="single"/>
        </w:rPr>
        <w:t xml:space="preserve"> </w:t>
      </w:r>
      <w:r>
        <w:rPr>
          <w:rFonts w:ascii="Times New Roman;Times;serif" w:hAnsi="Times New Roman;Times;serif"/>
          <w:color w:val="0000FF"/>
          <w:spacing w:val="-2"/>
          <w:sz w:val="20"/>
          <w:u w:val="single"/>
        </w:rPr>
        <w:t>hfarrell@continentalstock.com</w:t>
      </w:r>
      <w:r>
        <w:rPr>
          <w:rFonts w:ascii="Times New Roman;Times;serif" w:hAnsi="Times New Roman;Times;serif"/>
          <w:color w:val="0000FF"/>
          <w:spacing w:val="-2"/>
          <w:sz w:val="22"/>
          <w:u w:val="single"/>
        </w:rPr>
        <w:t xml:space="preserve"> </w:t>
      </w:r>
      <w:r>
        <w:rPr>
          <w:rFonts w:ascii="Times New Roman;Times;serif" w:hAnsi="Times New Roman;Times;serif"/>
          <w:spacing w:val="-2"/>
          <w:sz w:val="20"/>
        </w:rPr>
        <w:t>or such other e-mail address or address as the Warrant Agent may specify for such purposes by notice to the Holders. Any and all notices or other communications or deliveries to be provided by the Company hereunder shall be in writing and delivered personally, by e</w:t>
        <w:softHyphen/>
        <w:t>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lineRule="atLeast" w:line="230" w:before="242" w:after="0"/>
        <w:ind w:left="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Limitation of Liability</w:t>
      </w:r>
      <w:r>
        <w:rPr>
          <w:rFonts w:ascii="Times New Roman;Times;serif" w:hAnsi="Times New Roman;Times;serif"/>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lineRule="atLeast" w:line="230" w:before="242" w:after="283"/>
        <w:ind w:left="0" w:right="0" w:hanging="0"/>
        <w:jc w:val="both"/>
        <w:rPr>
          <w:rFonts w:ascii="Times New Roman;Times;serif" w:hAnsi="Times New Roman;Times;serif"/>
          <w:sz w:val="22"/>
        </w:rPr>
      </w:pPr>
      <w:r>
        <w:rPr>
          <w:rFonts w:ascii="Times New Roman;Times;serif" w:hAnsi="Times New Roman;Times;serif"/>
          <w:sz w:val="20"/>
        </w:rPr>
        <w:t>j)</w:t>
      </w:r>
      <w:r>
        <w:rPr>
          <w:rFonts w:ascii="Times New Roman;Times;serif" w:hAnsi="Times New Roman;Times;serif"/>
          <w:spacing w:val="-3"/>
          <w:sz w:val="20"/>
          <w:u w:val="single"/>
        </w:rPr>
        <w:t>Remedies</w:t>
      </w:r>
      <w:r>
        <w:rPr>
          <w:rFonts w:ascii="Times New Roman;Times;serif" w:hAnsi="Times New Roman;Times;serif"/>
          <w:spacing w:val="-3"/>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w:t>
      </w:r>
    </w:p>
    <w:p>
      <w:pPr>
        <w:pStyle w:val="TextBody"/>
        <w:bidi w:val="0"/>
        <w:spacing w:before="0" w:after="397"/>
        <w:ind w:left="0" w:right="0" w:hanging="0"/>
        <w:jc w:val="left"/>
        <w:rPr/>
      </w:pPr>
      <w:r>
        <w:rPr/>
        <w:t>​</w:t>
      </w:r>
    </w:p>
    <w:p>
      <w:pPr>
        <w:pStyle w:val="TextBody"/>
        <w:bidi w:val="0"/>
        <w:spacing w:lineRule="atLeast" w:line="227"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1" w:before="6" w:after="0"/>
        <w:ind w:left="0" w:right="0" w:hanging="0"/>
        <w:jc w:val="both"/>
        <w:rPr>
          <w:rFonts w:ascii="Times New Roman;Times;serif" w:hAnsi="Times New Roman;Times;serif"/>
          <w:sz w:val="20"/>
        </w:rPr>
      </w:pPr>
      <w:r>
        <w:rPr>
          <w:rFonts w:ascii="Times New Roman;Times;serif" w:hAnsi="Times New Roman;Times;serif"/>
          <w:sz w:val="20"/>
        </w:rPr>
        <w:t>breach by it of the provisions of this Warrant and hereby agrees to waive and not to assert the defense in any action for specific performance that a remedy at law would be adequate.</w:t>
      </w:r>
    </w:p>
    <w:p>
      <w:pPr>
        <w:pStyle w:val="TextBody"/>
        <w:bidi w:val="0"/>
        <w:spacing w:lineRule="atLeast" w:line="229" w:before="0" w:after="0"/>
        <w:ind w:left="0" w:right="0" w:hanging="0"/>
        <w:jc w:val="both"/>
        <w:rPr>
          <w:rFonts w:ascii="Times New Roman;Times;serif" w:hAnsi="Times New Roman;Times;serif"/>
          <w:sz w:val="22"/>
        </w:rPr>
      </w:pPr>
      <w:r>
        <w:rPr>
          <w:rFonts w:ascii="Times New Roman;Times;serif" w:hAnsi="Times New Roman;Times;serif"/>
          <w:sz w:val="20"/>
        </w:rPr>
        <w:t>e)</w:t>
      </w:r>
      <w:r>
        <w:rPr>
          <w:rFonts w:ascii="Times New Roman;Times;serif" w:hAnsi="Times New Roman;Times;serif"/>
          <w:sz w:val="20"/>
          <w:u w:val="single"/>
        </w:rPr>
        <w:t>Successors and Assigns</w:t>
      </w:r>
      <w:r>
        <w:rPr>
          <w:rFonts w:ascii="Times New Roman;Times;serif" w:hAnsi="Times New Roman;Times;serif"/>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lineRule="atLeast" w:line="229" w:before="250" w:after="0"/>
        <w:ind w:left="0" w:right="0" w:hanging="0"/>
        <w:jc w:val="both"/>
        <w:rPr>
          <w:rFonts w:ascii="Times New Roman;Times;serif" w:hAnsi="Times New Roman;Times;serif"/>
          <w:sz w:val="22"/>
        </w:rPr>
      </w:pPr>
      <w:r>
        <w:rPr>
          <w:rFonts w:ascii="Times New Roman;Times;serif" w:hAnsi="Times New Roman;Times;serif"/>
          <w:sz w:val="20"/>
        </w:rPr>
        <w:t>f)</w:t>
      </w:r>
      <w:r>
        <w:rPr>
          <w:rFonts w:ascii="Times New Roman;Times;serif" w:hAnsi="Times New Roman;Times;serif"/>
          <w:sz w:val="20"/>
          <w:u w:val="single"/>
        </w:rPr>
        <w:t>Amendment</w:t>
      </w:r>
      <w:r>
        <w:rPr>
          <w:rFonts w:ascii="Times New Roman;Times;serif" w:hAnsi="Times New Roman;Times;serif"/>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lineRule="atLeast" w:line="229" w:before="242" w:after="0"/>
        <w:ind w:left="0" w:right="0" w:hanging="0"/>
        <w:jc w:val="both"/>
        <w:rPr>
          <w:rFonts w:ascii="Times New Roman;Times;serif" w:hAnsi="Times New Roman;Times;serif"/>
          <w:sz w:val="22"/>
        </w:rPr>
      </w:pPr>
      <w:r>
        <w:rPr>
          <w:rFonts w:ascii="Times New Roman;Times;serif" w:hAnsi="Times New Roman;Times;serif"/>
          <w:sz w:val="20"/>
        </w:rPr>
        <w:t>g)</w:t>
      </w:r>
      <w:r>
        <w:rPr>
          <w:rFonts w:ascii="Times New Roman;Times;serif" w:hAnsi="Times New Roman;Times;serif"/>
          <w:sz w:val="20"/>
          <w:u w:val="single"/>
        </w:rPr>
        <w:t>Severability</w:t>
      </w:r>
      <w:r>
        <w:rPr>
          <w:rFonts w:ascii="Times New Roman;Times;serif" w:hAnsi="Times New Roman;Times;serif"/>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lineRule="atLeast" w:line="226" w:before="249" w:after="0"/>
        <w:ind w:left="0" w:right="0" w:hanging="0"/>
        <w:jc w:val="both"/>
        <w:rPr>
          <w:rFonts w:ascii="Times New Roman;Times;serif" w:hAnsi="Times New Roman;Times;serif"/>
          <w:sz w:val="22"/>
        </w:rPr>
      </w:pPr>
      <w:r>
        <w:rPr>
          <w:rFonts w:ascii="Times New Roman;Times;serif" w:hAnsi="Times New Roman;Times;serif"/>
          <w:sz w:val="20"/>
        </w:rPr>
        <w:t>h)</w:t>
      </w:r>
      <w:r>
        <w:rPr>
          <w:rFonts w:ascii="Times New Roman;Times;serif" w:hAnsi="Times New Roman;Times;serif"/>
          <w:sz w:val="20"/>
          <w:u w:val="single"/>
        </w:rPr>
        <w:t>Headings</w:t>
      </w:r>
      <w:r>
        <w:rPr>
          <w:rFonts w:ascii="Times New Roman;Times;serif" w:hAnsi="Times New Roman;Times;serif"/>
          <w:sz w:val="20"/>
        </w:rPr>
        <w:t>. The headings used in this Warrant are for the convenience of reference only and shall not, for any purpose, be deemed a part of this Warrant.</w:t>
      </w:r>
    </w:p>
    <w:p>
      <w:pPr>
        <w:pStyle w:val="TextBody"/>
        <w:bidi w:val="0"/>
        <w:spacing w:lineRule="atLeast" w:line="230" w:before="241" w:after="283"/>
        <w:ind w:left="0" w:right="0" w:hanging="0"/>
        <w:jc w:val="both"/>
        <w:rPr>
          <w:rFonts w:ascii="Times New Roman;Times;serif" w:hAnsi="Times New Roman;Times;serif"/>
          <w:sz w:val="22"/>
        </w:rPr>
      </w:pPr>
      <w:r>
        <w:rPr>
          <w:rFonts w:ascii="Times New Roman;Times;serif" w:hAnsi="Times New Roman;Times;serif"/>
          <w:sz w:val="20"/>
        </w:rPr>
        <w:t>i)</w:t>
      </w:r>
      <w:r>
        <w:rPr>
          <w:rFonts w:ascii="Times New Roman;Times;serif" w:hAnsi="Times New Roman;Times;serif"/>
          <w:sz w:val="20"/>
          <w:u w:val="single"/>
        </w:rPr>
        <w:t>Warrant Agency Agreement</w:t>
      </w:r>
      <w:r>
        <w:rPr>
          <w:rFonts w:ascii="Times New Roman;Times;serif" w:hAnsi="Times New Roman;Times;serif"/>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bidi w:val="0"/>
        <w:spacing w:lineRule="atLeast" w:line="461" w:before="10" w:after="5445"/>
        <w:ind w:left="2952" w:right="0" w:hanging="0"/>
        <w:jc w:val="left"/>
        <w:rPr>
          <w:rFonts w:ascii="Times New Roman;Times;serif" w:hAnsi="Times New Roman;Times;serif"/>
          <w:sz w:val="20"/>
        </w:rPr>
      </w:pPr>
      <w:r>
        <w:rPr>
          <w:rFonts w:ascii="Times New Roman;Times;serif" w:hAnsi="Times New Roman;Times;serif"/>
          <w:sz w:val="20"/>
        </w:rPr>
        <w:t xml:space="preserve">******************** </w:t>
        <w:br/>
      </w:r>
      <w:r>
        <w:rPr>
          <w:rFonts w:ascii="Times New Roman;Times;serif" w:hAnsi="Times New Roman;Times;serif"/>
          <w:i/>
          <w:sz w:val="20"/>
        </w:rPr>
        <w:t>(Signature Page Follows)</w:t>
      </w:r>
    </w:p>
    <w:p>
      <w:pPr>
        <w:pStyle w:val="TextBody"/>
        <w:bidi w:val="0"/>
        <w:spacing w:before="0" w:after="5445"/>
        <w:ind w:left="0" w:right="0" w:hanging="0"/>
        <w:jc w:val="left"/>
        <w:rPr/>
      </w:pPr>
      <w:r>
        <w:rPr/>
        <w:t>​</w:t>
      </w:r>
    </w:p>
    <w:p>
      <w:pPr>
        <w:pStyle w:val="TextBody"/>
        <w:bidi w:val="0"/>
        <w:spacing w:lineRule="atLeast" w:line="224"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30" w:before="6" w:after="0"/>
        <w:ind w:left="0" w:right="0" w:firstLine="720"/>
        <w:jc w:val="both"/>
        <w:rPr>
          <w:rFonts w:ascii="Times New Roman;Times;serif" w:hAnsi="Times New Roman;Times;serif"/>
          <w:sz w:val="20"/>
        </w:rPr>
      </w:pPr>
      <w:r>
        <w:rPr>
          <w:rFonts w:ascii="Times New Roman;Times;serif" w:hAnsi="Times New Roman;Times;serif"/>
          <w:sz w:val="20"/>
        </w:rPr>
        <w:t>IN WITNESS WHEREOF, the Company has caused this Warrant to be executed by its officer thereunto duly authorized as of the date first above indicated.</w:t>
      </w:r>
    </w:p>
    <w:p>
      <w:pPr>
        <w:pStyle w:val="TextBody"/>
        <w:bidi w:val="0"/>
        <w:spacing w:lineRule="atLeast" w:line="220" w:before="734" w:after="0"/>
        <w:ind w:left="5112" w:right="0" w:hanging="0"/>
        <w:jc w:val="left"/>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tLeast" w:line="212"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29">
            <wp:simplePos x="0" y="0"/>
            <wp:positionH relativeFrom="page">
              <wp:posOffset>0</wp:posOffset>
            </wp:positionH>
            <wp:positionV relativeFrom="line">
              <wp:posOffset>635</wp:posOffset>
            </wp:positionV>
            <wp:extent cx="720090" cy="219075"/>
            <wp:effectExtent l="0" t="0" r="0" b="0"/>
            <wp:wrapNone/>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16</w:t>
      </w:r>
    </w:p>
    <w:p>
      <w:pPr>
        <w:pStyle w:val="TextBody"/>
        <w:pBdr/>
        <w:bidi w:val="0"/>
        <w:spacing w:lineRule="atLeast" w:line="230" w:before="492" w:after="0"/>
        <w:ind w:left="5112" w:right="0" w:hanging="288"/>
        <w:jc w:val="left"/>
        <w:rPr>
          <w:rFonts w:ascii="Times New Roman;Times;serif" w:hAnsi="Times New Roman;Times;serif"/>
          <w:sz w:val="20"/>
        </w:rPr>
      </w:pPr>
      <w:r>
        <w:rPr>
          <w:rFonts w:ascii="Times New Roman;Times;serif" w:hAnsi="Times New Roman;Times;serif"/>
          <w:sz w:val="20"/>
        </w:rPr>
        <w:t xml:space="preserve">By: </w:t>
        <w:br/>
        <w:t xml:space="preserve">Name: </w:t>
        <w:br/>
        <w:t>Title: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25" w:before="13" w:after="0"/>
        <w:ind w:left="7920" w:right="0" w:hanging="0"/>
        <w:jc w:val="left"/>
        <w:rPr>
          <w:rFonts w:ascii="Times New Roman;Times;serif" w:hAnsi="Times New Roman;Times;serif"/>
          <w:b/>
          <w:sz w:val="20"/>
        </w:rPr>
      </w:pPr>
      <w:r>
        <w:rPr>
          <w:rFonts w:ascii="Times New Roman;Times;serif" w:hAnsi="Times New Roman;Times;serif"/>
          <w:b/>
          <w:sz w:val="20"/>
        </w:rPr>
        <w:t>EXHIBIT A</w:t>
      </w:r>
    </w:p>
    <w:p>
      <w:pPr>
        <w:pStyle w:val="TextBody"/>
        <w:bidi w:val="0"/>
        <w:spacing w:lineRule="atLeast" w:line="225" w:before="375" w:after="0"/>
        <w:ind w:left="0" w:right="0" w:hanging="0"/>
        <w:jc w:val="center"/>
        <w:rPr>
          <w:rFonts w:ascii="Times New Roman;Times;serif" w:hAnsi="Times New Roman;Times;serif"/>
          <w:b/>
          <w:sz w:val="20"/>
        </w:rPr>
      </w:pPr>
      <w:r>
        <w:rPr>
          <w:rFonts w:ascii="Times New Roman;Times;serif" w:hAnsi="Times New Roman;Times;serif"/>
          <w:b/>
          <w:sz w:val="20"/>
        </w:rPr>
        <w:t>NOTICE OF EXERCISE</w:t>
      </w:r>
    </w:p>
    <w:p>
      <w:pPr>
        <w:pStyle w:val="TextBody"/>
        <w:bidi w:val="0"/>
        <w:spacing w:lineRule="atLeast" w:line="223" w:before="236"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TO:</w:t>
      </w:r>
      <w:r>
        <w:rPr>
          <w:rFonts w:ascii="Times New Roman;Times;serif" w:hAnsi="Times New Roman;Times;serif"/>
          <w:sz w:val="20"/>
        </w:rPr>
        <w:t>AEON BIOPHARMA, INC.</w:t>
      </w:r>
    </w:p>
    <w:p>
      <w:pPr>
        <w:pStyle w:val="TextBody"/>
        <w:bidi w:val="0"/>
        <w:spacing w:lineRule="atLeast" w:line="228" w:before="0" w:after="0"/>
        <w:ind w:left="0" w:right="0" w:hanging="0"/>
        <w:jc w:val="both"/>
        <w:rPr>
          <w:rFonts w:ascii="Times New Roman;Times;serif" w:hAnsi="Times New Roman;Times;serif"/>
          <w:sz w:val="20"/>
        </w:rPr>
      </w:pPr>
      <w:r>
        <w:rPr>
          <w:rFonts w:ascii="Times New Roman;Times;serif" w:hAnsi="Times New Roman;Times;serif"/>
          <w:sz w:val="20"/>
        </w:rPr>
        <w:t xml:space="preserve">(1)The undersigned hereby elects to purchase[Warrant Shares][Pre-Funded Warrants] </w:t>
        <w:br/>
        <w:t>of the Company pursuant to the terms of the attached Warrant (only if exercised in full), and tenders herewith payment of the exercise price in full, together with all applicable transfer taxes, if any.</w:t>
      </w:r>
    </w:p>
    <w:p>
      <w:pPr>
        <w:pStyle w:val="TextBody"/>
        <w:bidi w:val="0"/>
        <w:spacing w:lineRule="atLeast" w:line="223" w:before="492" w:after="283"/>
        <w:ind w:left="0" w:right="0" w:hanging="0"/>
        <w:jc w:val="both"/>
        <w:rPr>
          <w:rFonts w:ascii="Times New Roman;Times;serif" w:hAnsi="Times New Roman;Times;serif"/>
          <w:sz w:val="20"/>
        </w:rPr>
      </w:pPr>
      <w:r>
        <w:rPr>
          <w:rFonts w:ascii="Times New Roman;Times;serif" w:hAnsi="Times New Roman;Times;serif"/>
          <w:sz w:val="20"/>
        </w:rPr>
        <w:t>(2)Payment shall take the form of (check applicable box):</w:t>
      </w:r>
    </w:p>
    <w:p>
      <w:pPr>
        <w:pStyle w:val="TextBody"/>
        <w:bidi w:val="0"/>
        <w:spacing w:lineRule="atLeast" w:line="273" w:before="230" w:after="0"/>
        <w:ind w:left="2160" w:right="0" w:hanging="0"/>
        <w:jc w:val="left"/>
        <w:rPr/>
      </w:pPr>
      <w:r>
        <w:rPr/>
        <w:t xml:space="preserve">☐ </w:t>
      </w:r>
      <w:r>
        <w:rPr>
          <w:rFonts w:ascii="Times New Roman;Times;serif" w:hAnsi="Times New Roman;Times;serif"/>
          <w:sz w:val="20"/>
        </w:rPr>
        <w:t>in lawful money of the United States; or</w:t>
      </w:r>
    </w:p>
    <w:p>
      <w:pPr>
        <w:pStyle w:val="TextBody"/>
        <w:bidi w:val="0"/>
        <w:spacing w:lineRule="atLeast" w:line="233" w:before="24" w:after="0"/>
        <w:ind w:left="2160" w:right="0" w:hanging="0"/>
        <w:jc w:val="both"/>
        <w:rPr/>
      </w:pPr>
      <w:r>
        <w:rPr/>
        <w:t xml:space="preserve">☐ </w:t>
      </w:r>
      <w:r>
        <w:rPr>
          <w:rFonts w:ascii="Times New Roman;Times;serif" w:hAnsi="Times New Roman;Times;serif"/>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lineRule="atLeast" w:line="230" w:before="0" w:after="0"/>
        <w:ind w:left="0" w:right="0" w:hanging="0"/>
        <w:jc w:val="both"/>
        <w:rPr>
          <w:rFonts w:ascii="Times New Roman;Times;serif" w:hAnsi="Times New Roman;Times;serif"/>
          <w:sz w:val="20"/>
        </w:rPr>
      </w:pPr>
      <w:r>
        <w:rPr>
          <w:rFonts w:ascii="Times New Roman;Times;serif" w:hAnsi="Times New Roman;Times;serif"/>
          <w:sz w:val="20"/>
        </w:rPr>
        <w:t>(3)Please issue said [Warrant Shares][Pre-Funded Warrants] in the name of the undersigned or in such other name as is specified below:</w:t>
      </w:r>
    </w:p>
    <w:p>
      <w:pPr>
        <w:pStyle w:val="TextBody"/>
        <w:bidi w:val="0"/>
        <w:spacing w:before="0" w:after="283"/>
        <w:jc w:val="left"/>
        <w:rPr/>
      </w:pPr>
      <w:r>
        <w:rPr/>
        <w:drawing>
          <wp:inline distT="0" distB="0" distL="0" distR="0">
            <wp:extent cx="1976120" cy="1460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976120" cy="14605"/>
                    </a:xfrm>
                    <a:prstGeom prst="rect">
                      <a:avLst/>
                    </a:prstGeom>
                  </pic:spPr>
                </pic:pic>
              </a:graphicData>
            </a:graphic>
          </wp:inline>
        </w:drawing>
      </w:r>
    </w:p>
    <w:p>
      <w:pPr>
        <w:pStyle w:val="TextBody"/>
        <w:bidi w:val="0"/>
        <w:spacing w:lineRule="atLeast" w:line="230" w:before="483" w:after="431"/>
        <w:ind w:left="0" w:right="0" w:hanging="0"/>
        <w:jc w:val="both"/>
        <w:rPr>
          <w:rFonts w:ascii="Times New Roman;Times;serif" w:hAnsi="Times New Roman;Times;serif"/>
          <w:sz w:val="20"/>
        </w:rPr>
      </w:pPr>
      <w:r>
        <w:rPr>
          <w:rFonts w:ascii="Times New Roman;Times;serif" w:hAnsi="Times New Roman;Times;serif"/>
          <w:sz w:val="20"/>
        </w:rPr>
        <w:t>If permitted by the terms of the Warrant, the Warrant Shares shall be delivered to the following DWAC Account Number:</w:t>
      </w:r>
    </w:p>
    <w:p>
      <w:pPr>
        <w:pStyle w:val="TextBody"/>
        <w:bidi w:val="0"/>
        <w:spacing w:before="0" w:after="0"/>
        <w:jc w:val="left"/>
        <w:rPr/>
      </w:pPr>
      <w:r>
        <w:rPr/>
        <w:drawing>
          <wp:inline distT="0" distB="0" distL="0" distR="0">
            <wp:extent cx="1976120" cy="1460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976120" cy="14605"/>
                    </a:xfrm>
                    <a:prstGeom prst="rect">
                      <a:avLst/>
                    </a:prstGeom>
                  </pic:spPr>
                </pic:pic>
              </a:graphicData>
            </a:graphic>
          </wp:inline>
        </w:drawing>
      </w:r>
    </w:p>
    <w:p>
      <w:pPr>
        <w:pStyle w:val="TextBody"/>
        <w:bidi w:val="0"/>
        <w:spacing w:before="0" w:after="0"/>
        <w:jc w:val="left"/>
        <w:rPr/>
      </w:pPr>
      <w:r>
        <w:rPr/>
        <w:drawing>
          <wp:inline distT="0" distB="0" distL="0" distR="0">
            <wp:extent cx="1976120" cy="1460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976120" cy="14605"/>
                    </a:xfrm>
                    <a:prstGeom prst="rect">
                      <a:avLst/>
                    </a:prstGeom>
                  </pic:spPr>
                </pic:pic>
              </a:graphicData>
            </a:graphic>
          </wp:inline>
        </w:drawing>
      </w:r>
    </w:p>
    <w:p>
      <w:pPr>
        <w:pStyle w:val="TextBody"/>
        <w:bidi w:val="0"/>
        <w:spacing w:before="0" w:after="0"/>
        <w:jc w:val="left"/>
        <w:rPr/>
      </w:pPr>
      <w:r>
        <w:rPr/>
        <w:drawing>
          <wp:inline distT="0" distB="0" distL="0" distR="0">
            <wp:extent cx="1976120" cy="1460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976120" cy="14605"/>
                    </a:xfrm>
                    <a:prstGeom prst="rect">
                      <a:avLst/>
                    </a:prstGeom>
                  </pic:spPr>
                </pic:pic>
              </a:graphicData>
            </a:graphic>
          </wp:inline>
        </w:drawing>
      </w:r>
    </w:p>
    <w:p>
      <w:pPr>
        <w:pStyle w:val="TextBody"/>
        <w:bidi w:val="0"/>
        <w:spacing w:lineRule="atLeast" w:line="235"/>
        <w:ind w:left="0" w:right="0" w:hanging="0"/>
        <w:jc w:val="both"/>
        <w:rPr>
          <w:rFonts w:ascii="Times New Roman;Times;serif" w:hAnsi="Times New Roman;Times;serif"/>
          <w:sz w:val="20"/>
        </w:rPr>
      </w:pPr>
      <w:r>
        <w:rPr>
          <w:rFonts w:ascii="Times New Roman;Times;serif" w:hAnsi="Times New Roman;Times;serif"/>
          <w:sz w:val="20"/>
        </w:rPr>
        <w:t>(4)The undersigned is an “accredited investor” as defined in Regulation D promulgated under the Securities Act of 1933, as amended.</w:t>
      </w:r>
    </w:p>
    <w:p>
      <w:pPr>
        <w:pStyle w:val="TextBody"/>
        <w:bidi w:val="0"/>
        <w:spacing w:lineRule="atLeast" w:line="223" w:before="358" w:after="0"/>
        <w:ind w:left="0" w:right="0" w:hanging="0"/>
        <w:jc w:val="left"/>
        <w:rPr>
          <w:rFonts w:ascii="Times New Roman;Times;serif" w:hAnsi="Times New Roman;Times;serif"/>
          <w:spacing w:val="-1"/>
          <w:sz w:val="20"/>
        </w:rPr>
      </w:pPr>
      <w:r>
        <w:rPr>
          <w:rFonts w:ascii="Times New Roman;Times;serif" w:hAnsi="Times New Roman;Times;serif"/>
          <w:spacing w:val="-1"/>
          <w:sz w:val="20"/>
        </w:rPr>
        <w:t>[SIGNATURE OF HOLDER]</w:t>
      </w:r>
    </w:p>
    <w:p>
      <w:pPr>
        <w:pStyle w:val="TextBody"/>
        <w:bidi w:val="0"/>
        <w:spacing w:lineRule="atLeast" w:line="345" w:before="113" w:after="0"/>
        <w:ind w:left="0" w:right="0" w:hanging="0"/>
        <w:jc w:val="left"/>
        <w:rPr>
          <w:rFonts w:ascii="Times New Roman;Times;serif" w:hAnsi="Times New Roman;Times;serif"/>
          <w:sz w:val="20"/>
        </w:rPr>
      </w:pPr>
      <w:r>
        <w:rPr>
          <w:rFonts w:ascii="Times New Roman;Times;serif" w:hAnsi="Times New Roman;Times;serif"/>
          <w:sz w:val="20"/>
        </w:rPr>
        <w:t xml:space="preserve">Name of Investing Entity: </w:t>
        <w:br/>
      </w:r>
      <w:r>
        <w:rPr>
          <w:rFonts w:ascii="Times New Roman;Times;serif" w:hAnsi="Times New Roman;Times;serif"/>
          <w:i/>
          <w:sz w:val="20"/>
        </w:rPr>
        <w:t>Signature of Authorized Signatory of Investing Entity</w:t>
      </w:r>
      <w:r>
        <w:rPr>
          <w:rFonts w:ascii="Times New Roman;Times;serif" w:hAnsi="Times New Roman;Times;serif"/>
          <w:sz w:val="20"/>
        </w:rPr>
        <w:t>:</w:t>
      </w:r>
    </w:p>
    <w:p>
      <w:pPr>
        <w:pStyle w:val="TextBody"/>
        <w:bidi w:val="0"/>
        <w:spacing w:lineRule="atLeast" w:line="223" w:before="121" w:after="0"/>
        <w:ind w:left="0" w:right="0" w:hanging="0"/>
        <w:jc w:val="left"/>
        <w:rPr>
          <w:rFonts w:ascii="Times New Roman;Times;serif" w:hAnsi="Times New Roman;Times;serif"/>
          <w:sz w:val="20"/>
        </w:rPr>
      </w:pPr>
      <w:r>
        <w:rPr>
          <w:rFonts w:ascii="Times New Roman;Times;serif" w:hAnsi="Times New Roman;Times;serif"/>
          <w:sz w:val="20"/>
        </w:rPr>
        <w:t xml:space="preserve">Name of Authorized Signatory: </w:t>
      </w:r>
    </w:p>
    <w:p>
      <w:pPr>
        <w:pStyle w:val="TextBody"/>
        <w:bidi w:val="0"/>
        <w:spacing w:lineRule="atLeast" w:line="212"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30">
            <wp:simplePos x="0" y="0"/>
            <wp:positionH relativeFrom="page">
              <wp:posOffset>0</wp:posOffset>
            </wp:positionH>
            <wp:positionV relativeFrom="line">
              <wp:posOffset>635</wp:posOffset>
            </wp:positionV>
            <wp:extent cx="720090" cy="219075"/>
            <wp:effectExtent l="0" t="0" r="0" b="0"/>
            <wp:wrapNone/>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17</w:t>
      </w:r>
    </w:p>
    <w:p>
      <w:pPr>
        <w:pStyle w:val="TextBody"/>
        <w:bidi w:val="0"/>
        <w:spacing w:lineRule="atLeast" w:line="345"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of Authorized Signatory: </w:t>
        <w:br/>
        <w:t>Date: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bidi w:val="0"/>
        <w:spacing w:lineRule="atLeast" w:line="225" w:before="13" w:after="0"/>
        <w:ind w:left="7920" w:right="0" w:hanging="0"/>
        <w:jc w:val="left"/>
        <w:rPr>
          <w:rFonts w:ascii="Times New Roman;Times;serif" w:hAnsi="Times New Roman;Times;serif"/>
          <w:b/>
          <w:sz w:val="20"/>
        </w:rPr>
      </w:pPr>
      <w:r>
        <w:rPr>
          <w:rFonts w:ascii="Times New Roman;Times;serif" w:hAnsi="Times New Roman;Times;serif"/>
          <w:b/>
          <w:sz w:val="20"/>
        </w:rPr>
        <w:t>EXHIBIT B</w:t>
      </w:r>
    </w:p>
    <w:p>
      <w:pPr>
        <w:pStyle w:val="TextBody"/>
        <w:bidi w:val="0"/>
        <w:spacing w:lineRule="atLeast" w:line="225" w:before="721" w:after="0"/>
        <w:ind w:left="0" w:right="0" w:hanging="0"/>
        <w:jc w:val="center"/>
        <w:rPr>
          <w:rFonts w:ascii="Times New Roman;Times;serif" w:hAnsi="Times New Roman;Times;serif"/>
          <w:b/>
          <w:sz w:val="20"/>
        </w:rPr>
      </w:pPr>
      <w:r>
        <w:rPr>
          <w:rFonts w:ascii="Times New Roman;Times;serif" w:hAnsi="Times New Roman;Times;serif"/>
          <w:b/>
          <w:sz w:val="20"/>
        </w:rPr>
        <w:t>ASSIGNMENT FORM</w:t>
      </w:r>
    </w:p>
    <w:p>
      <w:pPr>
        <w:pStyle w:val="TextBody"/>
        <w:bidi w:val="0"/>
        <w:spacing w:lineRule="atLeast" w:line="230" w:before="230" w:after="0"/>
        <w:ind w:left="0" w:right="72" w:firstLine="144"/>
        <w:jc w:val="both"/>
        <w:rPr>
          <w:rFonts w:ascii="Times New Roman;Times;serif" w:hAnsi="Times New Roman;Times;serif"/>
          <w:i/>
          <w:sz w:val="20"/>
        </w:rPr>
      </w:pPr>
      <w:r>
        <w:rPr>
          <w:rFonts w:ascii="Times New Roman;Times;serif" w:hAnsi="Times New Roman;Times;serif"/>
          <w:i/>
          <w:sz w:val="20"/>
        </w:rPr>
        <w:t>(To assign the foregoing Warrant, execute this form and supply required information. Do not use this form to purchase shares.)</w:t>
      </w:r>
    </w:p>
    <w:p>
      <w:pPr>
        <w:pStyle w:val="TextBody"/>
        <w:bidi w:val="0"/>
        <w:spacing w:lineRule="atLeast" w:line="225" w:before="126" w:after="0"/>
        <w:ind w:left="0" w:right="0" w:hanging="0"/>
        <w:jc w:val="center"/>
        <w:rPr>
          <w:rFonts w:ascii="Times New Roman;Times;serif" w:hAnsi="Times New Roman;Times;serif"/>
          <w:sz w:val="20"/>
        </w:rPr>
      </w:pPr>
      <w:r>
        <w:rPr>
          <w:rFonts w:ascii="Times New Roman;Times;serif" w:hAnsi="Times New Roman;Times;serif"/>
          <w:sz w:val="20"/>
        </w:rPr>
        <w:t>FOR VALUE RECEIVED, the foregoing Warrant and all rights evidenced thereby are hereby assigned to</w:t>
      </w:r>
    </w:p>
    <w:p>
      <w:pPr>
        <w:pStyle w:val="TextBody"/>
        <w:bidi w:val="0"/>
        <w:spacing w:lineRule="atLeast" w:line="183" w:before="596" w:after="0"/>
        <w:ind w:left="0" w:right="0" w:hanging="0"/>
        <w:jc w:val="left"/>
        <w:rPr>
          <w:rFonts w:ascii="Times New Roman;Times;serif" w:hAnsi="Times New Roman;Times;serif"/>
          <w:sz w:val="20"/>
        </w:rPr>
      </w:pPr>
      <w:r>
        <w:rPr>
          <w:rFonts w:ascii="Times New Roman;Times;serif" w:hAnsi="Times New Roman;Times;serif"/>
          <w:sz w:val="20"/>
        </w:rPr>
        <w:t>Name:</w:t>
      </w:r>
    </w:p>
    <w:p>
      <w:pPr>
        <w:pStyle w:val="TextBody"/>
        <w:bidi w:val="0"/>
        <w:spacing w:before="0" w:after="283"/>
        <w:jc w:val="left"/>
        <w:rPr/>
      </w:pPr>
      <w:r>
        <w:rPr/>
        <w:drawing>
          <wp:inline distT="0" distB="0" distL="0" distR="0">
            <wp:extent cx="2908935" cy="1460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2908935" cy="14605"/>
                    </a:xfrm>
                    <a:prstGeom prst="rect">
                      <a:avLst/>
                    </a:prstGeom>
                  </pic:spPr>
                </pic:pic>
              </a:graphicData>
            </a:graphic>
          </wp:inline>
        </w:drawing>
      </w:r>
    </w:p>
    <w:p>
      <w:pPr>
        <w:pStyle w:val="TextBody"/>
        <w:bidi w:val="0"/>
        <w:spacing w:lineRule="atLeast" w:line="225" w:before="312" w:after="0"/>
        <w:ind w:left="4896" w:right="0" w:hanging="0"/>
        <w:jc w:val="left"/>
        <w:rPr>
          <w:rFonts w:ascii="Times New Roman;Times;serif" w:hAnsi="Times New Roman;Times;serif"/>
          <w:sz w:val="20"/>
        </w:rPr>
      </w:pPr>
      <w:r>
        <w:rPr>
          <w:rFonts w:ascii="Times New Roman;Times;serif" w:hAnsi="Times New Roman;Times;serif"/>
          <w:sz w:val="20"/>
        </w:rPr>
        <w:t>(Please Print)</w:t>
      </w:r>
    </w:p>
    <w:p>
      <w:pPr>
        <w:pStyle w:val="TextBody"/>
        <w:bidi w:val="0"/>
        <w:spacing w:lineRule="atLeast" w:line="193" w:before="514" w:after="0"/>
        <w:ind w:left="144" w:right="0" w:hanging="0"/>
        <w:jc w:val="left"/>
        <w:rPr>
          <w:rFonts w:ascii="Times New Roman;Times;serif" w:hAnsi="Times New Roman;Times;serif"/>
          <w:spacing w:val="-2"/>
          <w:sz w:val="20"/>
        </w:rPr>
      </w:pPr>
      <w:r>
        <w:rPr>
          <w:rFonts w:ascii="Times New Roman;Times;serif" w:hAnsi="Times New Roman;Times;serif"/>
          <w:spacing w:val="-2"/>
          <w:sz w:val="20"/>
        </w:rPr>
        <w:t>Address:</w:t>
      </w:r>
    </w:p>
    <w:p>
      <w:pPr>
        <w:pStyle w:val="TextBody"/>
        <w:bidi w:val="0"/>
        <w:spacing w:before="0" w:after="283"/>
        <w:jc w:val="left"/>
        <w:rPr/>
      </w:pPr>
      <w:r>
        <w:rPr/>
        <w:drawing>
          <wp:inline distT="0" distB="0" distL="0" distR="0">
            <wp:extent cx="2908935" cy="1460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2908935" cy="14605"/>
                    </a:xfrm>
                    <a:prstGeom prst="rect">
                      <a:avLst/>
                    </a:prstGeom>
                  </pic:spPr>
                </pic:pic>
              </a:graphicData>
            </a:graphic>
          </wp:inline>
        </w:drawing>
      </w:r>
    </w:p>
    <w:p>
      <w:pPr>
        <w:pStyle w:val="TextBody"/>
        <w:bidi w:val="0"/>
        <w:spacing w:lineRule="atLeast" w:line="225" w:before="314" w:after="0"/>
        <w:ind w:left="4896" w:right="0" w:hanging="0"/>
        <w:jc w:val="left"/>
        <w:rPr>
          <w:rFonts w:ascii="Times New Roman;Times;serif" w:hAnsi="Times New Roman;Times;serif"/>
          <w:sz w:val="20"/>
        </w:rPr>
      </w:pPr>
      <w:r>
        <w:rPr>
          <w:rFonts w:ascii="Times New Roman;Times;serif" w:hAnsi="Times New Roman;Times;serif"/>
          <w:sz w:val="20"/>
        </w:rPr>
        <w:t>(Please Print)</w:t>
      </w:r>
    </w:p>
    <w:p>
      <w:pPr>
        <w:pStyle w:val="TextBody"/>
        <w:bidi w:val="0"/>
        <w:spacing w:lineRule="atLeast" w:line="203" w:before="279" w:after="0"/>
        <w:ind w:left="144" w:right="0" w:hanging="0"/>
        <w:jc w:val="left"/>
        <w:rPr>
          <w:rFonts w:ascii="Times New Roman;Times;serif" w:hAnsi="Times New Roman;Times;serif"/>
          <w:spacing w:val="-1"/>
          <w:sz w:val="20"/>
        </w:rPr>
      </w:pPr>
      <w:r>
        <w:rPr>
          <w:rFonts w:ascii="Times New Roman;Times;serif" w:hAnsi="Times New Roman;Times;serif"/>
          <w:spacing w:val="-1"/>
          <w:sz w:val="20"/>
        </w:rPr>
        <w:t>Phone Number:</w:t>
      </w:r>
    </w:p>
    <w:p>
      <w:pPr>
        <w:pStyle w:val="TextBody"/>
        <w:bidi w:val="0"/>
        <w:spacing w:before="0" w:after="283"/>
        <w:jc w:val="left"/>
        <w:rPr/>
      </w:pPr>
      <w:r>
        <w:rPr/>
        <w:drawing>
          <wp:inline distT="0" distB="0" distL="0" distR="0">
            <wp:extent cx="2420620" cy="1460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2420620" cy="14605"/>
                    </a:xfrm>
                    <a:prstGeom prst="rect">
                      <a:avLst/>
                    </a:prstGeom>
                  </pic:spPr>
                </pic:pic>
              </a:graphicData>
            </a:graphic>
          </wp:inline>
        </w:drawing>
      </w:r>
    </w:p>
    <w:p>
      <w:pPr>
        <w:pStyle w:val="TextBody"/>
        <w:bidi w:val="0"/>
        <w:spacing w:lineRule="atLeast" w:line="203" w:before="297" w:after="0"/>
        <w:ind w:left="144" w:right="0" w:hanging="0"/>
        <w:jc w:val="left"/>
        <w:rPr>
          <w:rFonts w:ascii="Times New Roman;Times;serif" w:hAnsi="Times New Roman;Times;serif"/>
          <w:spacing w:val="-1"/>
          <w:sz w:val="20"/>
        </w:rPr>
      </w:pPr>
      <w:r>
        <w:rPr>
          <w:rFonts w:ascii="Times New Roman;Times;serif" w:hAnsi="Times New Roman;Times;serif"/>
          <w:spacing w:val="-1"/>
          <w:sz w:val="20"/>
        </w:rPr>
        <w:t>Email Address:</w:t>
      </w:r>
    </w:p>
    <w:p>
      <w:pPr>
        <w:pStyle w:val="TextBody"/>
        <w:bidi w:val="0"/>
        <w:spacing w:before="0" w:after="283"/>
        <w:jc w:val="left"/>
        <w:rPr/>
      </w:pPr>
      <w:r>
        <w:rPr/>
        <w:drawing>
          <wp:inline distT="0" distB="0" distL="0" distR="0">
            <wp:extent cx="2420620" cy="1460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2420620" cy="14605"/>
                    </a:xfrm>
                    <a:prstGeom prst="rect">
                      <a:avLst/>
                    </a:prstGeom>
                  </pic:spPr>
                </pic:pic>
              </a:graphicData>
            </a:graphic>
          </wp:inline>
        </w:drawing>
      </w:r>
    </w:p>
    <w:p>
      <w:pPr>
        <w:pStyle w:val="TextBody"/>
        <w:bidi w:val="0"/>
        <w:spacing w:lineRule="atLeast" w:line="225" w:before="558"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5"/>
          <w:sz w:val="20"/>
          <w:bdr w:val="single" w:sz="2" w:space="1" w:color="000000"/>
        </w:rPr>
        <w:t>Dated:</w:t>
      </w:r>
      <w:r>
        <w:rPr>
          <w:rFonts w:ascii="Times New Roman;Times;serif" w:hAnsi="Times New Roman;Times;serif"/>
          <w:spacing w:val="-5"/>
          <w:sz w:val="20"/>
        </w:rPr>
        <w:t>__, ______</w:t>
      </w:r>
    </w:p>
    <w:p>
      <w:pPr>
        <w:pStyle w:val="TextBody"/>
        <w:bidi w:val="0"/>
        <w:spacing w:lineRule="atLeast" w:line="225" w:before="498" w:after="0"/>
        <w:ind w:left="0" w:right="0" w:hanging="0"/>
        <w:jc w:val="left"/>
        <w:rPr>
          <w:rFonts w:ascii="Times New Roman;Times;serif" w:hAnsi="Times New Roman;Times;serif"/>
          <w:spacing w:val="-4"/>
          <w:sz w:val="20"/>
        </w:rPr>
      </w:pPr>
      <w:r>
        <w:rPr>
          <w:rFonts w:ascii="Times New Roman;Times;serif" w:hAnsi="Times New Roman;Times;serif"/>
          <w:spacing w:val="-4"/>
          <w:sz w:val="20"/>
        </w:rPr>
        <w:t xml:space="preserve">Holder’s Signature: </w:t>
      </w:r>
    </w:p>
    <w:p>
      <w:pPr>
        <w:pStyle w:val="TextBody"/>
        <w:bidi w:val="0"/>
        <w:spacing w:lineRule="atLeast" w:line="212" w:before="4" w:after="0"/>
        <w:ind w:left="0" w:right="0" w:hanging="0"/>
        <w:jc w:val="center"/>
        <w:rPr>
          <w:rFonts w:ascii="Times New Roman;Times;serif" w:hAnsi="Times New Roman;Times;serif"/>
          <w:sz w:val="20"/>
        </w:rPr>
      </w:pPr>
      <w:r>
        <w:drawing>
          <wp:anchor behindDoc="0" distT="0" distB="0" distL="0" distR="0" simplePos="0" locked="0" layoutInCell="1" allowOverlap="1" relativeHeight="31">
            <wp:simplePos x="0" y="0"/>
            <wp:positionH relativeFrom="page">
              <wp:posOffset>0</wp:posOffset>
            </wp:positionH>
            <wp:positionV relativeFrom="line">
              <wp:posOffset>635</wp:posOffset>
            </wp:positionV>
            <wp:extent cx="720090" cy="219075"/>
            <wp:effectExtent l="0" t="0" r="0" b="0"/>
            <wp:wrapNone/>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720090" cy="219075"/>
                    </a:xfrm>
                    <a:prstGeom prst="rect">
                      <a:avLst/>
                    </a:prstGeom>
                  </pic:spPr>
                </pic:pic>
              </a:graphicData>
            </a:graphic>
          </wp:anchor>
        </w:drawing>
      </w:r>
      <w:r>
        <w:rPr>
          <w:rFonts w:ascii="Times New Roman;Times;serif" w:hAnsi="Times New Roman;Times;serif"/>
          <w:sz w:val="20"/>
        </w:rPr>
        <w:t>18</w:t>
      </w:r>
    </w:p>
    <w:p>
      <w:pPr>
        <w:pStyle w:val="TextBody"/>
        <w:bidi w:val="0"/>
        <w:spacing w:lineRule="atLeast" w:line="225" w:before="519" w:after="0"/>
        <w:ind w:left="0" w:right="0" w:hanging="0"/>
        <w:jc w:val="left"/>
        <w:rPr>
          <w:rFonts w:ascii="Times New Roman;Times;serif" w:hAnsi="Times New Roman;Times;serif"/>
          <w:spacing w:val="-5"/>
          <w:sz w:val="20"/>
        </w:rPr>
      </w:pPr>
      <w:r>
        <w:rPr>
          <w:rFonts w:ascii="Times New Roman;Times;serif" w:hAnsi="Times New Roman;Times;serif"/>
          <w:spacing w:val="-5"/>
          <w:sz w:val="20"/>
        </w:rPr>
        <w:t xml:space="preserve">Holder’s Address: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4.4</w:t>
      </w:r>
    </w:p>
    <w:p>
      <w:pPr>
        <w:pStyle w:val="TextBody"/>
        <w:pBdr/>
        <w:bidi w:val="0"/>
        <w:spacing w:lineRule="atLeast" w:line="345" w:before="0" w:after="0"/>
        <w:ind w:left="0" w:right="0" w:hanging="1008"/>
        <w:jc w:val="left"/>
        <w:rPr>
          <w:rFonts w:ascii="Times New Roman;Times;serif" w:hAnsi="Times New Roman;Times;serif"/>
          <w:sz w:val="20"/>
        </w:rPr>
      </w:pPr>
      <w:r>
        <w:rPr>
          <w:rFonts w:ascii="Times New Roman;Times;serif" w:hAnsi="Times New Roman;Times;serif"/>
          <w:b/>
          <w:spacing w:val="-1"/>
          <w:sz w:val="20"/>
        </w:rPr>
        <w:t xml:space="preserve">FORM OF PRE-FUNDED WARRANT </w:t>
      </w:r>
      <w:r>
        <w:rPr>
          <w:rFonts w:ascii="Times New Roman;Times;serif" w:hAnsi="Times New Roman;Times;serif"/>
          <w:spacing w:val="-1"/>
          <w:sz w:val="20"/>
        </w:rPr>
        <w:t>[To be Attached]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bookmarkStart w:id="123" w:name="aeon-20260713xex10d1.htm"/>
      <w:bookmarkStart w:id="124" w:name="ksaeon20260713xex10d1"/>
      <w:bookmarkEnd w:id="123"/>
      <w:bookmarkEnd w:id="124"/>
      <w:r>
        <w:rPr>
          <w:rFonts w:ascii="Times New Roman;Times;serif" w:hAnsi="Times New Roman;Times;serif"/>
          <w:sz w:val="22"/>
        </w:rPr>
        <w:t>Exhibit 10.1</w:t>
      </w:r>
      <w:r>
        <w:br w:type="page"/>
      </w:r>
    </w:p>
    <w:p>
      <w:pPr>
        <w:pStyle w:val="TextBody"/>
        <w:bidi w:val="0"/>
        <w:spacing w:lineRule="atLeast" w:line="258" w:before="0" w:after="0"/>
        <w:ind w:left="0" w:right="0" w:hanging="0"/>
        <w:jc w:val="right"/>
        <w:rPr>
          <w:rFonts w:ascii="Times New Roman;Times;serif" w:hAnsi="Times New Roman;Times;serif"/>
          <w:b/>
          <w:i/>
          <w:spacing w:val="8"/>
          <w:sz w:val="22"/>
        </w:rPr>
      </w:pPr>
      <w:r>
        <w:rPr>
          <w:rFonts w:ascii="Times New Roman;Times;serif" w:hAnsi="Times New Roman;Times;serif"/>
          <w:b/>
          <w:i/>
          <w:spacing w:val="8"/>
          <w:sz w:val="22"/>
        </w:rPr>
        <w:t>Execution Version</w:t>
      </w:r>
    </w:p>
    <w:p>
      <w:pPr>
        <w:pStyle w:val="TextBody"/>
        <w:bidi w:val="0"/>
        <w:spacing w:lineRule="atLeast" w:line="314" w:before="697" w:after="0"/>
        <w:ind w:left="0" w:right="0" w:hanging="0"/>
        <w:jc w:val="left"/>
        <w:rPr>
          <w:rFonts w:ascii="Times New Roman;Times;serif" w:hAnsi="Times New Roman;Times;serif"/>
          <w:sz w:val="22"/>
        </w:rPr>
      </w:pPr>
      <w:r>
        <w:rPr>
          <w:rFonts w:ascii="Times New Roman;Times;serif" w:hAnsi="Times New Roman;Times;serif"/>
          <w:sz w:val="22"/>
        </w:rPr>
        <w:t xml:space="preserve">Lake Street Capital Markets, LLC </w:t>
        <w:br/>
        <w:t xml:space="preserve">121 South 8th Street, Suite 1000 </w:t>
        <w:br/>
        <w:t>Minneapolis, Minnesota 55402</w:t>
      </w:r>
    </w:p>
    <w:p>
      <w:pPr>
        <w:pStyle w:val="TextBody"/>
        <w:bidi w:val="0"/>
        <w:spacing w:lineRule="atLeast" w:line="314" w:before="311" w:after="0"/>
        <w:ind w:left="0" w:right="0" w:hanging="0"/>
        <w:jc w:val="left"/>
        <w:rPr>
          <w:rFonts w:ascii="Times New Roman;Times;serif" w:hAnsi="Times New Roman;Times;serif"/>
          <w:sz w:val="22"/>
        </w:rPr>
      </w:pPr>
      <w:r>
        <w:rPr>
          <w:rFonts w:ascii="Times New Roman;Times;serif" w:hAnsi="Times New Roman;Times;serif"/>
          <w:sz w:val="22"/>
        </w:rPr>
        <w:t xml:space="preserve">Laidlaw &amp; Company (UK) Ltd. </w:t>
        <w:br/>
        <w:t xml:space="preserve">521 Fifth Avenue, 12th Floor </w:t>
        <w:br/>
        <w:t>New York, NY 10175</w:t>
      </w:r>
    </w:p>
    <w:p>
      <w:pPr>
        <w:pStyle w:val="TextBody"/>
        <w:bidi w:val="0"/>
        <w:spacing w:lineRule="atLeast" w:line="254" w:before="255" w:after="0"/>
        <w:ind w:left="0" w:right="0" w:hanging="0"/>
        <w:jc w:val="left"/>
        <w:rPr>
          <w:rFonts w:ascii="Times New Roman;Times;serif" w:hAnsi="Times New Roman;Times;serif"/>
          <w:sz w:val="22"/>
        </w:rPr>
      </w:pPr>
      <w:r>
        <w:rPr>
          <w:rFonts w:ascii="Times New Roman;Times;serif" w:hAnsi="Times New Roman;Times;serif"/>
          <w:sz w:val="22"/>
        </w:rPr>
        <w:t>July 1</w:t>
      </w:r>
      <w:r>
        <w:rPr>
          <w:rFonts w:ascii="Times New Roman;Times;serif" w:hAnsi="Times New Roman;Times;serif"/>
          <w:sz w:val="23"/>
        </w:rPr>
        <w:t>3</w:t>
      </w:r>
      <w:r>
        <w:rPr>
          <w:rFonts w:ascii="Times New Roman;Times;serif" w:hAnsi="Times New Roman;Times;serif"/>
          <w:sz w:val="22"/>
        </w:rPr>
        <w:t>, 2026</w:t>
      </w:r>
    </w:p>
    <w:p>
      <w:pPr>
        <w:pStyle w:val="TextBody"/>
        <w:bidi w:val="0"/>
        <w:spacing w:lineRule="atLeast" w:line="220" w:before="507" w:after="0"/>
        <w:ind w:left="0" w:right="0" w:hanging="0"/>
        <w:jc w:val="left"/>
        <w:rPr>
          <w:rFonts w:ascii="Times New Roman;Times;serif" w:hAnsi="Times New Roman;Times;serif"/>
          <w:b/>
          <w:sz w:val="22"/>
        </w:rPr>
      </w:pPr>
      <w:r>
        <w:rPr>
          <w:rFonts w:ascii="Times New Roman;Times;serif" w:hAnsi="Times New Roman;Times;serif"/>
          <w:b/>
          <w:sz w:val="22"/>
        </w:rPr>
        <w:t>Private and Confidential</w:t>
      </w:r>
    </w:p>
    <w:p>
      <w:pPr>
        <w:pStyle w:val="TextBody"/>
        <w:bidi w:val="0"/>
        <w:spacing w:before="0" w:after="283"/>
        <w:jc w:val="left"/>
        <w:rPr/>
      </w:pPr>
      <w:r>
        <w:rPr/>
        <w:drawing>
          <wp:inline distT="0" distB="0" distL="0" distR="0">
            <wp:extent cx="1494155" cy="1460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494155" cy="14605"/>
                    </a:xfrm>
                    <a:prstGeom prst="rect">
                      <a:avLst/>
                    </a:prstGeom>
                  </pic:spPr>
                </pic:pic>
              </a:graphicData>
            </a:graphic>
          </wp:inline>
        </w:drawing>
      </w:r>
    </w:p>
    <w:p>
      <w:pPr>
        <w:pStyle w:val="TextBody"/>
        <w:bidi w:val="0"/>
        <w:spacing w:lineRule="atLeast" w:line="247" w:before="281" w:after="0"/>
        <w:ind w:left="0" w:right="0" w:hanging="0"/>
        <w:jc w:val="left"/>
        <w:rPr>
          <w:rFonts w:ascii="Times New Roman;Times;serif" w:hAnsi="Times New Roman;Times;serif"/>
          <w:sz w:val="22"/>
        </w:rPr>
      </w:pPr>
      <w:r>
        <w:rPr>
          <w:rFonts w:ascii="Times New Roman;Times;serif" w:hAnsi="Times New Roman;Times;serif"/>
          <w:sz w:val="22"/>
        </w:rPr>
        <w:t>AEON Biopharma, Inc.</w:t>
      </w:r>
    </w:p>
    <w:p>
      <w:pPr>
        <w:pStyle w:val="TextBody"/>
        <w:bidi w:val="0"/>
        <w:spacing w:lineRule="atLeast" w:line="247" w:before="8" w:after="0"/>
        <w:ind w:left="0" w:right="0" w:hanging="0"/>
        <w:jc w:val="left"/>
        <w:rPr>
          <w:rFonts w:ascii="Times New Roman;Times;serif" w:hAnsi="Times New Roman;Times;serif"/>
          <w:sz w:val="22"/>
        </w:rPr>
      </w:pPr>
      <w:r>
        <w:rPr>
          <w:rFonts w:ascii="Times New Roman;Times;serif" w:hAnsi="Times New Roman;Times;serif"/>
          <w:sz w:val="22"/>
        </w:rPr>
        <w:t>5 Park Plaza</w:t>
      </w:r>
    </w:p>
    <w:p>
      <w:pPr>
        <w:pStyle w:val="TextBody"/>
        <w:bidi w:val="0"/>
        <w:spacing w:lineRule="atLeast" w:line="247" w:before="7" w:after="0"/>
        <w:ind w:left="0" w:right="0" w:hanging="0"/>
        <w:jc w:val="left"/>
        <w:rPr>
          <w:rFonts w:ascii="Times New Roman;Times;serif" w:hAnsi="Times New Roman;Times;serif"/>
          <w:spacing w:val="-1"/>
          <w:sz w:val="22"/>
        </w:rPr>
      </w:pPr>
      <w:r>
        <w:rPr>
          <w:rFonts w:ascii="Times New Roman;Times;serif" w:hAnsi="Times New Roman;Times;serif"/>
          <w:spacing w:val="-1"/>
          <w:sz w:val="22"/>
        </w:rPr>
        <w:t>Suite 1750</w:t>
      </w:r>
    </w:p>
    <w:p>
      <w:pPr>
        <w:pStyle w:val="TextBody"/>
        <w:bidi w:val="0"/>
        <w:spacing w:lineRule="atLeast" w:line="247" w:before="3" w:after="0"/>
        <w:ind w:left="0" w:right="0" w:hanging="0"/>
        <w:jc w:val="left"/>
        <w:rPr>
          <w:rFonts w:ascii="Times New Roman;Times;serif" w:hAnsi="Times New Roman;Times;serif"/>
          <w:sz w:val="22"/>
        </w:rPr>
      </w:pPr>
      <w:r>
        <w:rPr>
          <w:rFonts w:ascii="Times New Roman;Times;serif" w:hAnsi="Times New Roman;Times;serif"/>
          <w:sz w:val="22"/>
        </w:rPr>
        <w:t>Irvine, CA 92614</w:t>
      </w:r>
    </w:p>
    <w:p>
      <w:pPr>
        <w:pStyle w:val="TextBody"/>
        <w:bidi w:val="0"/>
        <w:spacing w:lineRule="atLeast" w:line="247" w:before="511"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Attention:</w:t>
      </w:r>
      <w:r>
        <w:rPr>
          <w:rFonts w:ascii="Times New Roman;Times;serif" w:hAnsi="Times New Roman;Times;serif"/>
          <w:sz w:val="22"/>
        </w:rPr>
        <w:t>Robert Bancroft</w:t>
      </w:r>
    </w:p>
    <w:p>
      <w:pPr>
        <w:pStyle w:val="TextBody"/>
        <w:bidi w:val="0"/>
        <w:spacing w:lineRule="atLeast" w:line="247" w:before="8" w:after="0"/>
        <w:ind w:left="1440" w:right="0" w:hanging="0"/>
        <w:jc w:val="left"/>
        <w:rPr>
          <w:rFonts w:ascii="Times New Roman;Times;serif" w:hAnsi="Times New Roman;Times;serif"/>
          <w:sz w:val="22"/>
        </w:rPr>
      </w:pPr>
      <w:r>
        <w:rPr>
          <w:rFonts w:ascii="Times New Roman;Times;serif" w:hAnsi="Times New Roman;Times;serif"/>
          <w:sz w:val="22"/>
        </w:rPr>
        <w:t>President and Chief Executive Officer</w:t>
      </w:r>
    </w:p>
    <w:p>
      <w:pPr>
        <w:pStyle w:val="TextBody"/>
        <w:bidi w:val="0"/>
        <w:spacing w:lineRule="atLeast" w:line="247" w:before="257" w:after="0"/>
        <w:ind w:left="0" w:right="0" w:hanging="0"/>
        <w:jc w:val="left"/>
        <w:rPr>
          <w:rFonts w:ascii="Times New Roman;Times;serif" w:hAnsi="Times New Roman;Times;serif"/>
          <w:spacing w:val="-1"/>
          <w:sz w:val="22"/>
        </w:rPr>
      </w:pPr>
      <w:r>
        <w:rPr>
          <w:rFonts w:ascii="Times New Roman;Times;serif" w:hAnsi="Times New Roman;Times;serif"/>
          <w:spacing w:val="-1"/>
          <w:sz w:val="22"/>
        </w:rPr>
        <w:t>Dear Robert:</w:t>
      </w:r>
    </w:p>
    <w:p>
      <w:pPr>
        <w:pStyle w:val="TextBody"/>
        <w:bidi w:val="0"/>
        <w:spacing w:lineRule="atLeast" w:line="245" w:before="256" w:after="0"/>
        <w:ind w:left="0" w:right="0" w:hanging="0"/>
        <w:jc w:val="both"/>
        <w:rPr>
          <w:rFonts w:ascii="Times New Roman;Times;serif" w:hAnsi="Times New Roman;Times;serif"/>
          <w:sz w:val="22"/>
        </w:rPr>
      </w:pPr>
      <w:r>
        <w:rPr>
          <w:rFonts w:ascii="Times New Roman;Times;serif" w:hAnsi="Times New Roman;Times;serif"/>
          <w:sz w:val="22"/>
        </w:rPr>
        <w:t>We understand that AEON Biopharma, Inc., a Delaware corporation (the “Company”), has requested that Lake Street Capital Markets, LLC and Laidlaw &amp; Company (UK) Ltd. (collectively, the “Agents”) act as the Company’s solicitation agents in connection with the exercise of the Common Warrants (as defined in the Underwriting Agreement) and the Option Common Warrants (as defined in the Underwriting Agreement) (the Common Warrants and the Option Common Warrants together, the “Milestone Warrants”) to be issued pursuant to that certain Underwriting Agreement, dated as of the date hereof (the “Underwriting Agreement”), between the Company and Lake Street Capital Markets, LLC, as representative of the several underwriters named therein, including Laidlaw &amp; Company (UK) Ltd. (the “Services”). The Agents have agreed to perform the Services subject to the execution of this agreement (the “Letter Agreement”), and the Company hereby authorizes the Agents to contact Warrant holders (the “Holders”) in performing the Services.</w:t>
      </w:r>
    </w:p>
    <w:p>
      <w:pPr>
        <w:pStyle w:val="TextBody"/>
        <w:bidi w:val="0"/>
        <w:spacing w:lineRule="atLeast" w:line="244" w:before="253" w:after="0"/>
        <w:ind w:left="0" w:right="0" w:hanging="0"/>
        <w:jc w:val="both"/>
        <w:rPr>
          <w:rFonts w:ascii="Times New Roman;Times;serif" w:hAnsi="Times New Roman;Times;serif"/>
          <w:spacing w:val="-2"/>
          <w:sz w:val="22"/>
        </w:rPr>
      </w:pPr>
      <w:r>
        <w:rPr>
          <w:rFonts w:ascii="Times New Roman;Times;serif" w:hAnsi="Times New Roman;Times;serif"/>
          <w:spacing w:val="-2"/>
          <w:sz w:val="22"/>
        </w:rPr>
        <w:t>As compensation for the Services, no later than five (5) business days following each calendar quarter, the Company shall indicate how many Milestone Warrant Securities have been issued to warrantholders upon the cash exercise of the Milestone Warrants and pay the Agents a fee consisting of a cash payment equal to the Applicable Percentage (as defined below) of the cash exercise payment received by the Company for all cash exercises of the Milestone Warrants during the then-ended calendar quarter (the “Warrant Solicitation Fee”), with such Warrant Solicitation Fee allocated among the Agents in proportion to the number of Firm Securities set forth opposite their respective names in Schedule 1 of the Underwriting Agreement and payable by wire transfer of immediately available funds to a bank account designated by such Agent. The Applicable Percentage shall equal (i) 3.0% if at the time of such cash exercise the aggregate number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45" w:before="0" w:after="0"/>
        <w:ind w:left="0" w:right="0" w:hanging="0"/>
        <w:jc w:val="both"/>
        <w:rPr>
          <w:rFonts w:ascii="Times New Roman;Times;serif" w:hAnsi="Times New Roman;Times;serif"/>
          <w:sz w:val="22"/>
        </w:rPr>
      </w:pPr>
      <w:r>
        <w:rPr>
          <w:rFonts w:ascii="Times New Roman;Times;serif" w:hAnsi="Times New Roman;Times;serif"/>
          <w:spacing w:val="-1"/>
          <w:sz w:val="22"/>
        </w:rPr>
        <w:t>Milestone Warrant Securities that have been issued to warrantholders upon the cash exercise of the Milestone Warrants, including the Milestone Warrant Securities issued upon such exercise, equals between 0-24,545,948 (subject to appropriate adjustment for stock splits, stock dividends, combinations, and other recapitalizations), (ii) 3.75% if at the time of such cash exercise the aggregate number of Milestone Warrant Securities issued to warrantholders upon the cash exercise of the Milestone Warrants, including the Milestone Warrant Securities issued upon such exercise, equals between 24,545,949-49,091,896 (subject to appropriate adjustment for stock splits, stock dividends, combinations, and other recapitalizations) and (iii) 4.50% if at the time of such cash exercise the aggregate number of Milestone Warrant Securities issued to warrantholders upon the cash exercise of the Milestone Warrants, including the Milestone Warrant Securities issued upon such exercise, equals between 49,091,897- 98,183,794 (subject to appropriate adjustment for stock splits, stock dividends, combinations, and other recapitalizations). If upon the cash exercise of a Milestone Warrant a portion of the Milestone Warrant Securities subject to exercise falls within more than one of the above-listed Applicable Percentages then the Applicable Percentage shall be pro rata split between such Applicable Percentages (for example, if upon the cash exercise of a Milestone Warrant for 1,000 Milestone Warrant Securities, the first 250 Milestone Warrant Securities were within the Milestone Warrant Security threshold in the preceding clause (i), and the 251</w:t>
      </w:r>
      <w:r>
        <w:rPr>
          <w:rFonts w:ascii="Times New Roman;Times;serif" w:hAnsi="Times New Roman;Times;serif"/>
          <w:spacing w:val="-1"/>
          <w:sz w:val="17"/>
        </w:rPr>
        <w:t>st</w:t>
      </w:r>
      <w:r>
        <w:rPr>
          <w:rFonts w:ascii="Times New Roman;Times;serif" w:hAnsi="Times New Roman;Times;serif"/>
          <w:spacing w:val="-1"/>
          <w:sz w:val="22"/>
        </w:rPr>
        <w:t xml:space="preserve"> Warrant Share resulted in the aggregate Milestone Warrant Securities qualifying for the Milestone Warrant Securities threshold in the preceding clause (ii), then the Applicable Percentage would equal 3.00% as it relates to the first 250 Milestone Warrant Securities and 3.75% as it relates to the remaining 750 Milestone Warrant Securities). “Milestone Warrant Securities” means the shares of Class A common stock, par value $0.0001 per share, of the Company (the “Common Stock”), issued upon the exercise of the Milestone Warrants and the shares of Common Stock underlying any Pre-Funded Warrants (as defined in the Underwriting Agreement) issued upon exercise of the Milestone Warrants.</w:t>
      </w:r>
    </w:p>
    <w:p>
      <w:pPr>
        <w:pStyle w:val="TextBody"/>
        <w:bidi w:val="0"/>
        <w:spacing w:lineRule="atLeast" w:line="253" w:before="255" w:after="0"/>
        <w:ind w:left="0" w:right="0" w:hanging="0"/>
        <w:jc w:val="both"/>
        <w:rPr>
          <w:rFonts w:ascii="Times New Roman;Times;serif" w:hAnsi="Times New Roman;Times;serif"/>
          <w:spacing w:val="-2"/>
          <w:sz w:val="22"/>
        </w:rPr>
      </w:pPr>
      <w:r>
        <w:rPr>
          <w:rFonts w:ascii="Times New Roman;Times;serif" w:hAnsi="Times New Roman;Times;serif"/>
          <w:spacing w:val="-2"/>
          <w:sz w:val="22"/>
        </w:rPr>
        <w:t>Upon the request of one or more Agents, the Company will furnish the Agents with all information concerning the Company and the Holders that the Agents reasonably deem appropriate and necessary for the purpose of rendering the Services. The Company understands and confirms that (i) the Agents will rely, without independent investigation or verification, upon the accuracy and completeness of such information supplied by or on behalf of the Company and upon publicly available information and such other information as the Agents may each deem appropriate and necessary in connection with the Services, and (ii) the Agents will not be responsible for assuming, and do not assume, any responsibility for independent investigation or verification of any such information or for the accuracy or completeness thereof, and shall not be liable for any inaccuracies or omissions therein. The Company will notify the Agents promptly of (A) any material inaccuracy or misstatement in, or material omission from, any information previously furnished to the Agents and (B) the receipt by the Company of any communication from the SEC or any state securities commissioner or any regulatory authority or the commencement of any lawsuit or proceeding to which the Company is a party relating to the Milestone Warrants.</w:t>
      </w:r>
    </w:p>
    <w:p>
      <w:pPr>
        <w:pStyle w:val="TextBody"/>
        <w:bidi w:val="0"/>
        <w:spacing w:lineRule="atLeast" w:line="248" w:before="292"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The Company acknowledges and agrees that none of the Agents, any of their respective affiliates or their respective officers, directors, employees, agents and controlling persons (each, an “Advisor Party”) shall have any liability (whether direct or indirect, in contract, tort or otherwise) to the Company or any other person asserting claims on behalf of or in right of the Company for any Loss (as defined below) (a) by reason of any unauthorized use, reliance, publication, distribution of or reference to any of the advice or opinions provided by the Agents or any unauthorized reference to the Agents or the engagement or (b) in connection with the Services, the engagement or the Agents’ services performed or contemplated thereby, except in the case of clause (b), solely with respect to the Company, to the extent that any such Loss is finally judicially determined by a court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53" w:before="5" w:after="0"/>
        <w:ind w:left="0" w:right="0" w:hanging="0"/>
        <w:jc w:val="both"/>
        <w:rPr>
          <w:rFonts w:ascii="Times New Roman;Times;serif" w:hAnsi="Times New Roman;Times;serif"/>
          <w:sz w:val="22"/>
        </w:rPr>
      </w:pPr>
      <w:r>
        <w:rPr>
          <w:rFonts w:ascii="Times New Roman;Times;serif" w:hAnsi="Times New Roman;Times;serif"/>
          <w:sz w:val="22"/>
        </w:rPr>
        <w:t>competent jurisdiction to have resulted from such Advisor Party’s gross negligence or willful misconduct in the performance of the Services.</w:t>
      </w:r>
    </w:p>
    <w:p>
      <w:pPr>
        <w:pStyle w:val="TextBody"/>
        <w:bidi w:val="0"/>
        <w:spacing w:lineRule="atLeast" w:line="253" w:before="270" w:after="0"/>
        <w:ind w:left="0" w:right="0" w:hanging="0"/>
        <w:jc w:val="both"/>
        <w:rPr>
          <w:rFonts w:ascii="Times New Roman;Times;serif" w:hAnsi="Times New Roman;Times;serif"/>
          <w:spacing w:val="-1"/>
          <w:sz w:val="22"/>
        </w:rPr>
      </w:pPr>
      <w:r>
        <w:rPr>
          <w:rFonts w:ascii="Times New Roman;Times;serif" w:hAnsi="Times New Roman;Times;serif"/>
          <w:spacing w:val="-1"/>
          <w:sz w:val="22"/>
        </w:rPr>
        <w:t>In addition, the Company (the “Indemnifying Party”) agrees to indemnify and hold harmless each of the Agents, each of their affiliates and their and each of their respective officers, directors, employees, advisors, representatives, agents and controlling persons (each of the foregoing, an “Indemnified Party” and collectively, the “Indemnified Parties”) from and against any and all losses, claims, demands, damages, liabilities and expenses of any kind (including, without limitation, legal fees and other expenses incurred in connection with any suit, action, investigation or proceeding or any claim asserted), joint or several (collectively, “Losses”), incurred by any of the Indemnified Parties or to which any such Indemnified Party may become subject:</w:t>
      </w:r>
    </w:p>
    <w:p>
      <w:pPr>
        <w:pStyle w:val="TextBody"/>
        <w:bidi w:val="0"/>
        <w:spacing w:lineRule="atLeast" w:line="253" w:before="256" w:after="0"/>
        <w:ind w:left="72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(i)</w:t>
      </w:r>
      <w:r>
        <w:rPr>
          <w:rFonts w:ascii="Times New Roman;Times;serif" w:hAnsi="Times New Roman;Times;serif"/>
          <w:sz w:val="22"/>
        </w:rPr>
        <w:t>related to, arising out of, or in connection with:</w:t>
      </w:r>
    </w:p>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oral or written information (including, for the avoidance of doubt, the materials, provided by, or any action taken or omitted to be taken by, the Indemnifying Party, its officers, directors, employees, advisors, representatives, agents or controlling persons), or</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any action taken or to be taken by an Indemnified Party with the consent of the Indemnifying Party or in conformity with the instructions of the Indemnifying Party;</w:t>
            </w:r>
          </w:p>
        </w:tc>
      </w:tr>
    </w:tbl>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lineRule="atLeast" w:line="253" w:before="256" w:after="0"/>
              <w:jc w:val="both"/>
              <w:rPr>
                <w:rFonts w:ascii="Times New Roman;Times;serif" w:hAnsi="Times New Roman;Times;serif"/>
                <w:sz w:val="22"/>
              </w:rPr>
            </w:pPr>
            <w:r>
              <w:rPr>
                <w:rFonts w:ascii="Times New Roman;Times;serif" w:hAnsi="Times New Roman;Times;serif"/>
                <w:sz w:val="22"/>
              </w:rPr>
              <w:t>(ii)</w:t>
            </w:r>
          </w:p>
        </w:tc>
        <w:tc>
          <w:tcPr>
            <w:tcW w:w="9939" w:type="dxa"/>
            <w:tcBorders/>
            <w:vAlign w:val="center"/>
          </w:tcPr>
          <w:p>
            <w:pPr>
              <w:pStyle w:val="TableContents"/>
              <w:bidi w:val="0"/>
              <w:spacing w:lineRule="atLeast" w:line="253" w:before="256" w:after="0"/>
              <w:jc w:val="both"/>
              <w:rPr>
                <w:rFonts w:ascii="Times New Roman;Times;serif" w:hAnsi="Times New Roman;Times;serif"/>
                <w:sz w:val="22"/>
              </w:rPr>
            </w:pPr>
            <w:r>
              <w:rPr>
                <w:rFonts w:ascii="Times New Roman;Times;serif" w:hAnsi="Times New Roman;Times;serif"/>
                <w:sz w:val="22"/>
              </w:rPr>
              <w:t>otherwise related to, arising out of, or in connection with the Agents’ (or their affiliates’) engagement pursuant to this Letter Agreement, the Agents’ (or their affiliates’) performance of any services in connection herewith or in connection with the Services; or</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lineRule="atLeast" w:line="253" w:before="254" w:after="0"/>
              <w:jc w:val="both"/>
              <w:rPr>
                <w:rFonts w:ascii="Times New Roman;Times;serif" w:hAnsi="Times New Roman;Times;serif"/>
                <w:spacing w:val="-2"/>
                <w:sz w:val="22"/>
              </w:rPr>
            </w:pPr>
            <w:r>
              <w:rPr>
                <w:rFonts w:ascii="Times New Roman;Times;serif" w:hAnsi="Times New Roman;Times;serif"/>
                <w:spacing w:val="-2"/>
                <w:sz w:val="22"/>
              </w:rPr>
              <w:t>(iii)</w:t>
            </w:r>
          </w:p>
        </w:tc>
        <w:tc>
          <w:tcPr>
            <w:tcW w:w="9900" w:type="dxa"/>
            <w:tcBorders/>
            <w:vAlign w:val="center"/>
          </w:tcPr>
          <w:p>
            <w:pPr>
              <w:pStyle w:val="TableContents"/>
              <w:bidi w:val="0"/>
              <w:spacing w:lineRule="atLeast" w:line="253" w:before="254" w:after="0"/>
              <w:jc w:val="both"/>
              <w:rPr>
                <w:rFonts w:ascii="Times New Roman;Times;serif" w:hAnsi="Times New Roman;Times;serif"/>
                <w:spacing w:val="-2"/>
                <w:sz w:val="22"/>
              </w:rPr>
            </w:pPr>
            <w:r>
              <w:rPr>
                <w:rFonts w:ascii="Times New Roman;Times;serif" w:hAnsi="Times New Roman;Times;serif"/>
                <w:spacing w:val="-2"/>
                <w:sz w:val="22"/>
              </w:rPr>
              <w:t>related to, arising out of, or in connection with any commenced or threatened suit, action, claim, litigation, investigation or proceeding (including, without limitation, usual and customary per diem compensation for any Indemnified Party’s involvement in discovery proceedings or testimony), relating to or arising out of the foregoing (each a “Proceeding”), regardless of whether any such Indemnified Party is a party thereto and whether or not such Proceeding is initiated or brought by or on behalf of the Indemnifying Party.</w:t>
            </w:r>
          </w:p>
        </w:tc>
      </w:tr>
    </w:tbl>
    <w:p>
      <w:pPr>
        <w:pStyle w:val="TextBody"/>
        <w:bidi w:val="0"/>
        <w:spacing w:lineRule="atLeast" w:line="253" w:before="249" w:after="0"/>
        <w:ind w:left="0" w:right="0" w:hanging="0"/>
        <w:jc w:val="both"/>
        <w:rPr>
          <w:rFonts w:ascii="Times New Roman;Times;serif" w:hAnsi="Times New Roman;Times;serif"/>
          <w:spacing w:val="-1"/>
          <w:sz w:val="22"/>
        </w:rPr>
      </w:pPr>
      <w:r>
        <w:rPr>
          <w:rFonts w:ascii="Times New Roman;Times;serif" w:hAnsi="Times New Roman;Times;serif"/>
          <w:spacing w:val="-1"/>
          <w:sz w:val="22"/>
        </w:rPr>
        <w:t>The Indemnifying Party further agrees to reimburse immediately upon request such Indemnified Parties for any expenses (including, without limitation, legal fees and other expenses incurred in connection with any suit, action, investigation or proceeding or any claim asserted) as they are incurred in connection with investigating, preparing for and defending or providing evidence in any of the foregoing, including in connection with the enforcement of the indemnification and reimbursement provided for herein. Notwithstanding the foregoing, in the case of clause (ii) of the preceding paragraph, the Indemnifying Party shall not have any indemnification or reimbursement obligation to any Indemnified Party to the extent that any Loss is finally judicially determined by a court of competent jurisdiction to have resulted solely from the gross negligence or willful misconduct of such Indemnified Party in the performance of its services hereunder.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53" w:before="7" w:after="0"/>
        <w:ind w:left="0" w:right="0" w:hanging="0"/>
        <w:jc w:val="both"/>
        <w:rPr>
          <w:rFonts w:ascii="Times New Roman;Times;serif" w:hAnsi="Times New Roman;Times;serif"/>
          <w:sz w:val="22"/>
        </w:rPr>
      </w:pPr>
      <w:r>
        <w:rPr>
          <w:rFonts w:ascii="Times New Roman;Times;serif" w:hAnsi="Times New Roman;Times;serif"/>
          <w:sz w:val="22"/>
        </w:rPr>
        <w:t>For the avoidance of doubt, the gross negligence or willful misconduct of any Agent shall not be attributed to or otherwise affect the indemnification, exculpation or any other rights hereunder of the other Agent, and no Agent shall be a representative or agent of the other.</w:t>
      </w:r>
    </w:p>
    <w:p>
      <w:pPr>
        <w:pStyle w:val="TextBody"/>
        <w:bidi w:val="0"/>
        <w:spacing w:lineRule="atLeast" w:line="253" w:before="251" w:after="0"/>
        <w:ind w:left="0" w:right="0" w:hanging="0"/>
        <w:jc w:val="both"/>
        <w:rPr>
          <w:rFonts w:ascii="Times New Roman;Times;serif" w:hAnsi="Times New Roman;Times;serif"/>
          <w:sz w:val="22"/>
        </w:rPr>
      </w:pPr>
      <w:r>
        <w:rPr>
          <w:rFonts w:ascii="Times New Roman;Times;serif" w:hAnsi="Times New Roman;Times;serif"/>
          <w:sz w:val="22"/>
        </w:rPr>
        <w:t>If for any reason the foregoing indemnification and reimbursement is unavailable to any Indemnified Party or insufficient in respect of any Losses referred to therein to hold it harmless, then the Indemnifying Party agrees to contribute to the amount paid or payable by such Indemnified Party as a result of such Losses (i) in such proportion as is appropriate to reflect the relative benefits received by the Indemnifying Party, on the one hand, and such Indemnified Party, on the other hand, of the Services or (ii) if (but only if) the allocation provided for in clause (i) is for any reason unenforceable, in such proportion as is appropriate to reflect not only such relative benefits but also the relative fault of the Indemnifying Party, on the one hand, and such Indemnified Party, on the other hand, as well as any relevant equitable considerations. It is hereby agreed that for purposes of this paragraph the relative benefits to the Indemnifying Party, on the one hand, and all Indemnified Parties, on the other hand, of the Services shall be deemed to be in the same proportion as (i) the gross aggregate cash from the exercise of the Milestone Warrants (before deducting expenses) received by the Company, bears to (ii) the total Warrant Solicitation Fee received by the Agents,; provided that in no event shall the Indemnified Parties be required to contribute an aggregate amount in excess of the fees actually received by such Agent. The parties agree that it would not be just and equitable if contribution were determined by pro rata allocation or by any other method of allocation that does not take into account the equitable considerations referred to above.</w:t>
      </w:r>
    </w:p>
    <w:p>
      <w:pPr>
        <w:pStyle w:val="TextBody"/>
        <w:bidi w:val="0"/>
        <w:spacing w:lineRule="atLeast" w:line="253" w:before="257" w:after="0"/>
        <w:ind w:left="0" w:right="0" w:hanging="0"/>
        <w:jc w:val="both"/>
        <w:rPr>
          <w:rFonts w:ascii="Times New Roman;Times;serif" w:hAnsi="Times New Roman;Times;serif"/>
          <w:spacing w:val="-2"/>
          <w:sz w:val="22"/>
        </w:rPr>
      </w:pPr>
      <w:r>
        <w:rPr>
          <w:rFonts w:ascii="Times New Roman;Times;serif" w:hAnsi="Times New Roman;Times;serif"/>
          <w:spacing w:val="-2"/>
          <w:sz w:val="22"/>
        </w:rPr>
        <w:t>Promptly after receipt of notice of the commencement of any Proceeding against the Agents or any other Indemnified Party, the Agents or any other Indemnified Party shall notify the Indemnifying Party in writing of the commencement thereof; provided that any failure or delay in so notifying shall not relieve the Indemnifying Party of any liability that it may have to the Agents or any other Indemnified Party except and only to the extent that such failure materially prejudices the ability to defend the Proceeding. The Indemnifying Party shall have 30 days after receipt of notice to undertake, at its own expense, the settlement or defense of the Proceeding, including prompt employment of counsel acceptable to the Indemnified Parties affected and payment of all expenses. The relevant Indemnified Parties shall have the right to participate in the settlement or defense of the Proceeding. The relevant Indemnified Parties may retain one firm of separate counsel in each relevant jurisdiction to represent them in the settlement or defense of the Proceeding, at the expense of the Indemnifying Party, if (i) the Indemnifying Party does not assume the defense of the Proceeding within 30 days of receipt of notice; (ii) the Indemnifying Party agrees to separate representation; (iii) the Agents are advised in writing by counsel that there is an actual or potential conflict in the Indemnifying Party’s and the Indemnified Parties’ respective interests or additional defenses are available to the Indemnified Parties that are not available to the Indemnifying Party, which makes representation by the same counsel inappropriate or (iv) the Agents are advised in writing by counsel that the subject matter of the Proceeding may not fall within the indemnity set forth herein, which makes representation by the same counsel inappropriate. The Indemnifying Party agrees that, without an Indemnified Party’s prior written consent, it will not settle, compromise or consent to the entry of any judgment in or otherwise seek to terminate any Proceeding in respect of which indemnification could be sought under the indemnification provisions of this Letter Agreement (whether or not the Agents or any other Indemnified Party is an actual or potential party to such Proceeding), or participate in or otherwise facilitate any such settlement, compromise, consent or termination by or on behalf of any person or entity, unless such settlement, compromise, consent or termination (i) includes an unconditional release of such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53" w:before="8" w:after="0"/>
        <w:ind w:left="0" w:right="0" w:hanging="0"/>
        <w:jc w:val="both"/>
        <w:rPr>
          <w:rFonts w:ascii="Times New Roman;Times;serif" w:hAnsi="Times New Roman;Times;serif"/>
          <w:sz w:val="22"/>
        </w:rPr>
      </w:pPr>
      <w:r>
        <w:rPr>
          <w:rFonts w:ascii="Times New Roman;Times;serif" w:hAnsi="Times New Roman;Times;serif"/>
          <w:sz w:val="22"/>
        </w:rPr>
        <w:t>Indemnified Party, in form and substance satisfactory to such Indemnified Party, from, and holds such Indemnified Party harmless against, all liability arising out of such Proceeding and (ii) does not include any statement as to or any admission of fault, culpability or a failure to act by or on behalf of any Indemnified Party.</w:t>
      </w:r>
    </w:p>
    <w:p>
      <w:pPr>
        <w:pStyle w:val="TextBody"/>
        <w:bidi w:val="0"/>
        <w:spacing w:lineRule="atLeast" w:line="253" w:before="250" w:after="0"/>
        <w:ind w:left="0" w:right="0" w:hanging="0"/>
        <w:jc w:val="both"/>
        <w:rPr>
          <w:rFonts w:ascii="Times New Roman;Times;serif" w:hAnsi="Times New Roman;Times;serif"/>
          <w:sz w:val="22"/>
        </w:rPr>
      </w:pPr>
      <w:r>
        <w:rPr>
          <w:rFonts w:ascii="Times New Roman;Times;serif" w:hAnsi="Times New Roman;Times;serif"/>
          <w:sz w:val="22"/>
        </w:rPr>
        <w:t>The Indemnifying Party will promptly notify an Indemnified Party of the assertion against it or any other person of any Proceeding or the commencement thereof relating to or arising out of any matter referred to in this Letter Agreement, including, without limitation, an Indemnified Party’s services hereunder.</w:t>
      </w:r>
    </w:p>
    <w:p>
      <w:pPr>
        <w:pStyle w:val="TextBody"/>
        <w:bidi w:val="0"/>
        <w:spacing w:lineRule="atLeast" w:line="253" w:before="253" w:after="0"/>
        <w:ind w:left="0" w:right="0" w:hanging="0"/>
        <w:jc w:val="both"/>
        <w:rPr>
          <w:rFonts w:ascii="Times New Roman;Times;serif" w:hAnsi="Times New Roman;Times;serif"/>
          <w:sz w:val="22"/>
        </w:rPr>
      </w:pPr>
      <w:r>
        <w:rPr>
          <w:rFonts w:ascii="Times New Roman;Times;serif" w:hAnsi="Times New Roman;Times;serif"/>
          <w:sz w:val="22"/>
        </w:rPr>
        <w:t>To help the government fight the funding of terrorism and money laundering activities, U.S. federal law requires financial institutions to obtain, verify and record information that identifies each individual or institution that opens an account or establishes a new client relationship with the Agents. Accordingly, pursuant to Section 326 of the USA PATRIOT Act, 31 U.S.C. §5318, the Agents may request information, including the individual or institution’s full legal name, address, taxpayer identification number and other information to verify such person’s identity as part of the Agents' AML compliance program. If all required documentation or information is not provided, the Agents may be unable to open an account or establish a relationship with the Company. This section hereby notifies the Company of such requirement.</w:t>
      </w:r>
    </w:p>
    <w:p>
      <w:pPr>
        <w:pStyle w:val="TextBody"/>
        <w:bidi w:val="0"/>
        <w:spacing w:lineRule="atLeast" w:line="253" w:before="253" w:after="0"/>
        <w:ind w:left="0" w:right="0" w:hanging="0"/>
        <w:jc w:val="both"/>
        <w:rPr>
          <w:rFonts w:ascii="Times New Roman;Times;serif" w:hAnsi="Times New Roman;Times;serif"/>
          <w:spacing w:val="-1"/>
          <w:sz w:val="22"/>
        </w:rPr>
      </w:pPr>
      <w:r>
        <w:rPr>
          <w:rFonts w:ascii="Times New Roman;Times;serif" w:hAnsi="Times New Roman;Times;serif"/>
          <w:spacing w:val="-1"/>
          <w:sz w:val="22"/>
        </w:rPr>
        <w:t>None of the Company, any of its subsidiaries, directors or officers or, to the best knowledge of the Company, any of its affiliates, agents or employees, has engaged in any activity or conduct that would violate any applicable anti-bribery, anti-corruption or anti-money laundering laws or regulations in any applicable jurisdiction and the Company has instituted and maintains policies and procedures designed to prevent violation of such laws, regulations and rules. None of the Company, any of its subsidiaries, directors or officers or, to the best knowledge of the Company, any of its affiliates, agents or employees, is currently a person with whom dealings are restricted or prohibited by any Sanctions (as defined below). The Company covenants and agrees that it will not directly or indirectly use the proceeds from the exercise of the Milestone Warrants or lend, contribute or otherwise make available such proceeds to any subsidiary, sister company, joint venture partner or other person or entity (i) for the purpose of financing or facilitating any activity of or transaction or business with any person or entity, or in any country or territory, that, at the time of such funding or facilitation, is a person, entity, country or territory with which dealings are restricted or prohibited by any Sanctions (including any person owned or controlled by any person subject to any Sanctions) or (ii) in any other manner that will result in a violation by any person (including any person participating in the Services) of Sanctions. For the purpose of this Letter Agreement, “Sanctions” means any economic or trade sanctions or restrictive measures enacted, administered, imposed or enforced by the U.S. Department of the Treasury’s Office of Foreign Assets Control (OFAC), the U.S. Department of State, the United Nations Security Council, His Majesty’s Treasury and/or the European Union or other relevant sanctions authority.</w:t>
      </w:r>
    </w:p>
    <w:p>
      <w:pPr>
        <w:pStyle w:val="TextBody"/>
        <w:bidi w:val="0"/>
        <w:spacing w:lineRule="atLeast" w:line="253" w:before="256" w:after="0"/>
        <w:ind w:left="0" w:right="0" w:hanging="0"/>
        <w:jc w:val="both"/>
        <w:rPr>
          <w:rFonts w:ascii="Times New Roman;Times;serif" w:hAnsi="Times New Roman;Times;serif"/>
          <w:spacing w:val="-3"/>
          <w:sz w:val="22"/>
        </w:rPr>
      </w:pPr>
      <w:r>
        <w:rPr>
          <w:rFonts w:ascii="Times New Roman;Times;serif" w:hAnsi="Times New Roman;Times;serif"/>
          <w:spacing w:val="-3"/>
          <w:sz w:val="22"/>
        </w:rPr>
        <w:t>The term of this Letter Agreement shall extend from the date hereof until the date on which all of the Milestone Warrants have expired by their terms (the “Term”). Each Agent, with respect to itself, may terminate this Letter Agreement at any time, with or without cause, by giving the Company at least five calendar days’ prior written notice. If this Letter Agreement is terminated by one or more Agents, this Letter Agreement shall thereafter have no effect with respect to any such terminating Agent except the allocation of the Warrant Solicitation Fee shall be proportionally adjusted such that the continuing Agent will each receive the percentage of the Warrant Solicitation Fee previously allocated to the departing Agent. The indemnification obligations herein shall survive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53" w:before="5" w:after="0"/>
        <w:ind w:left="0" w:right="0" w:hanging="0"/>
        <w:jc w:val="both"/>
        <w:rPr>
          <w:rFonts w:ascii="Times New Roman;Times;serif" w:hAnsi="Times New Roman;Times;serif"/>
          <w:sz w:val="22"/>
        </w:rPr>
      </w:pPr>
      <w:r>
        <w:rPr>
          <w:rFonts w:ascii="Times New Roman;Times;serif" w:hAnsi="Times New Roman;Times;serif"/>
          <w:sz w:val="22"/>
        </w:rPr>
        <w:t>the termination or expiration of this Letter Agreement for Losses occurring prior to the date of such termination or expiration.</w:t>
      </w:r>
    </w:p>
    <w:p>
      <w:pPr>
        <w:pStyle w:val="TextBody"/>
        <w:bidi w:val="0"/>
        <w:spacing w:lineRule="atLeast" w:line="253" w:before="255" w:after="0"/>
        <w:ind w:left="0" w:right="0" w:hanging="0"/>
        <w:jc w:val="both"/>
        <w:rPr>
          <w:rFonts w:ascii="Times New Roman;Times;serif" w:hAnsi="Times New Roman;Times;serif"/>
          <w:sz w:val="22"/>
        </w:rPr>
      </w:pPr>
      <w:r>
        <w:rPr>
          <w:rFonts w:ascii="Times New Roman;Times;serif" w:hAnsi="Times New Roman;Times;serif"/>
          <w:sz w:val="22"/>
        </w:rPr>
        <w:t>Each Agent (i) has been retained hereunder solely to provide the Services as provided for herein, and not as an advisor to any other person, and any duties (which will not be fiduciary duties) arising out of the Agents’ engagement will be owed solely to the Company with respect to the matters contemplated hereby and not to any other person, (ii) is engaged hereunder as an independent contractor, (iii) is not acting as an agent of the Company or in a fiduciary capacity with respect to the Company or any other person, and (iv) is not and will not be responsible for any underlying business decision to effect the Services.</w:t>
      </w:r>
    </w:p>
    <w:p>
      <w:pPr>
        <w:pStyle w:val="TextBody"/>
        <w:bidi w:val="0"/>
        <w:spacing w:lineRule="atLeast" w:line="253" w:before="252" w:after="0"/>
        <w:ind w:left="0" w:right="0" w:hanging="0"/>
        <w:jc w:val="both"/>
        <w:rPr>
          <w:rFonts w:ascii="Times New Roman;Times;serif" w:hAnsi="Times New Roman;Times;serif"/>
          <w:sz w:val="22"/>
        </w:rPr>
      </w:pPr>
      <w:r>
        <w:rPr>
          <w:rFonts w:ascii="Times New Roman;Times;serif" w:hAnsi="Times New Roman;Times;serif"/>
          <w:sz w:val="22"/>
        </w:rPr>
        <w:t>Notwithstanding anything herein to the contrary, the Company shall be permitted, without the prior written consent of the Agents, to (i) describe this Letter Agreement (including the Warrant Solicitation Fee and the material terms hereof) in, and file this Letter Agreement as an exhibit to, the Registration Statement, any final prospectus, any Current Report on Form 8-K, or any other filing required or advisable to be made with the SEC or FINRA in connection with the Offering or the Milestone Warrants, (ii) disclose the existence and terms of this Letter Agreement to its directors, officers, employees, legal counsel, auditors, financial advisors and other professional advisors on a need-to-know basis, and (iii) disclose the existence and terms of this Letter Agreement as required by law, the rules of any applicable securities exchange, or any subpoena or similar legal process. Except as expressly permitted by the foregoing, the Company agrees not to disclose the existence of this Letter Agreement or the contents hereof without the prior written consent of the Agents (such consent not to be unreasonably withheld, conditioned or delayed).</w:t>
      </w:r>
    </w:p>
    <w:p>
      <w:pPr>
        <w:pStyle w:val="TextBody"/>
        <w:bidi w:val="0"/>
        <w:spacing w:lineRule="atLeast" w:line="253" w:before="250" w:after="0"/>
        <w:ind w:left="0" w:right="0" w:hanging="0"/>
        <w:jc w:val="both"/>
        <w:rPr>
          <w:rFonts w:ascii="Times New Roman;Times;serif" w:hAnsi="Times New Roman;Times;serif"/>
          <w:sz w:val="22"/>
        </w:rPr>
      </w:pPr>
      <w:r>
        <w:rPr>
          <w:rFonts w:ascii="Times New Roman;Times;serif" w:hAnsi="Times New Roman;Times;serif"/>
          <w:spacing w:val="-2"/>
          <w:sz w:val="22"/>
        </w:rPr>
        <w:t xml:space="preserve">Notice given pursuant to any of the provisions of this Letter Agreement shall be in writing and shall be mailed, emailed or delivered (a) to the Company, at the address listed on the front of this Letter Agreement, and at the email address: [***] ; (b) Lake Street Capital Markets, LLC, 121 South 8th Street, Suite 1000, Minneapolis, Minnesota 55402, Attention: Head of Investment Banking, with a copy sent via email to CapitalMarkets@lakestreetcm.com and to </w:t>
      </w:r>
      <w:r>
        <w:rPr>
          <w:rFonts w:ascii="Times New Roman;Times;serif" w:hAnsi="Times New Roman;Times;serif"/>
          <w:color w:val="0000FF"/>
          <w:spacing w:val="-2"/>
          <w:sz w:val="22"/>
          <w:u w:val="single"/>
        </w:rPr>
        <w:t>jon.zimmerman@faegredrinker.com</w:t>
      </w:r>
      <w:r>
        <w:rPr>
          <w:rFonts w:ascii="Times New Roman;Times;serif" w:hAnsi="Times New Roman;Times;serif"/>
          <w:spacing w:val="-2"/>
          <w:sz w:val="22"/>
        </w:rPr>
        <w:t xml:space="preserve">; and (c) 521 Fifth Avenue, 12th Floor, New York, NY 10175, Attention: Luke Kottke, with a copy sent via email to </w:t>
      </w:r>
      <w:r>
        <w:rPr>
          <w:rFonts w:ascii="Times New Roman;Times;serif" w:hAnsi="Times New Roman;Times;serif"/>
          <w:color w:val="0000FF"/>
          <w:spacing w:val="-2"/>
          <w:sz w:val="22"/>
          <w:u w:val="single"/>
        </w:rPr>
        <w:t>lkottke@laidlawltd.com</w:t>
      </w:r>
      <w:r>
        <w:rPr>
          <w:rFonts w:ascii="Times New Roman;Times;serif" w:hAnsi="Times New Roman;Times;serif"/>
          <w:spacing w:val="-2"/>
          <w:sz w:val="22"/>
        </w:rPr>
        <w:t>. Notice by mail or delivery shall be deemed conclusively to have been given and received upon delivery to a responsible officer or employee of the addressee, and notice by email shall be deemed conclusively to have been given upon confirmation of receipt by the addressee by sending an email to the sender. Either party may change its address by notice to the other in the manner aforesaid.</w:t>
      </w:r>
    </w:p>
    <w:p>
      <w:pPr>
        <w:pStyle w:val="TextBody"/>
        <w:bidi w:val="0"/>
        <w:spacing w:lineRule="atLeast" w:line="253" w:before="253" w:after="0"/>
        <w:ind w:left="0" w:right="0" w:hanging="0"/>
        <w:jc w:val="both"/>
        <w:rPr>
          <w:rFonts w:ascii="Times New Roman;Times;serif" w:hAnsi="Times New Roman;Times;serif"/>
          <w:spacing w:val="1"/>
          <w:sz w:val="22"/>
        </w:rPr>
      </w:pPr>
      <w:r>
        <w:rPr>
          <w:rFonts w:ascii="Times New Roman;Times;serif" w:hAnsi="Times New Roman;Times;serif"/>
          <w:spacing w:val="1"/>
          <w:sz w:val="22"/>
        </w:rPr>
        <w:t>This Letter Agreement shall be governed by the laws of the State of New York and shall remain operative and in full force and effect from the date hereof. This Letter Agreement shall be binding upon and inure to the benefit of any successors, assigns, heirs or representatives of the Company or any Indemnified Party. Any right of trial by jury in any action, proceeding or counterclaim (whether based upon contract, tort or otherwise) related to or arising out of this Letter Agreement is hereby waived by the parties hereto. The parties hereto hereby submit to the exclusive jurisdiction of the federal and New York state courts located in the Borough of Manhattan in connection with any dispute related to this Letter Agreement or any of the matters contemplated hereby.</w:t>
      </w:r>
    </w:p>
    <w:p>
      <w:pPr>
        <w:pStyle w:val="TextBody"/>
        <w:bidi w:val="0"/>
        <w:spacing w:lineRule="atLeast" w:line="253" w:before="258" w:after="0"/>
        <w:ind w:left="0" w:right="0" w:hanging="0"/>
        <w:jc w:val="both"/>
        <w:rPr>
          <w:rFonts w:ascii="Times New Roman;Times;serif" w:hAnsi="Times New Roman;Times;serif"/>
          <w:spacing w:val="-2"/>
          <w:sz w:val="22"/>
        </w:rPr>
      </w:pPr>
      <w:r>
        <w:rPr>
          <w:rFonts w:ascii="Times New Roman;Times;serif" w:hAnsi="Times New Roman;Times;serif"/>
          <w:spacing w:val="-2"/>
          <w:sz w:val="22"/>
        </w:rPr>
        <w:t>This Letter Agreement may be amended, supplemented or changed, and any provision hereof or thereof may be waived, only by a written instrument making specific reference to this Letter Agreement which is signed by the parties hereto. The waiver by any party hereto of a breach of 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53" w:before="0" w:after="0"/>
        <w:ind w:left="0" w:right="0" w:hanging="0"/>
        <w:jc w:val="both"/>
        <w:rPr>
          <w:rFonts w:ascii="Times New Roman;Times;serif" w:hAnsi="Times New Roman;Times;serif"/>
          <w:sz w:val="22"/>
        </w:rPr>
      </w:pPr>
      <w:r>
        <w:rPr>
          <w:rFonts w:ascii="Times New Roman;Times;serif" w:hAnsi="Times New Roman;Times;serif"/>
          <w:sz w:val="22"/>
        </w:rPr>
        <w:t>provision of this Letter Agreement shall not operate or be construed as a further or continuing waiver of such breach or as a waiver of any other or subsequent breach.</w:t>
      </w:r>
    </w:p>
    <w:p>
      <w:pPr>
        <w:pStyle w:val="TextBody"/>
        <w:bidi w:val="0"/>
        <w:spacing w:lineRule="atLeast" w:line="252" w:before="255" w:after="0"/>
        <w:ind w:left="0" w:right="0" w:hanging="0"/>
        <w:jc w:val="both"/>
        <w:rPr>
          <w:rFonts w:ascii="Times New Roman;Times;serif" w:hAnsi="Times New Roman;Times;serif"/>
          <w:sz w:val="22"/>
        </w:rPr>
      </w:pPr>
      <w:r>
        <w:rPr>
          <w:rFonts w:ascii="Times New Roman;Times;serif" w:hAnsi="Times New Roman;Times;serif"/>
          <w:sz w:val="22"/>
        </w:rPr>
        <w:t>This Letter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301- 309), as amended from time to time, or other applicable law will be deemed original signatures for purposes of this Letter Agreement. Transmission by telecopy, electronic mail or other transmission method of an executed counterpart of this Letter Agreement will constitute due and sufficient delivery of such counterpart.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lineRule="atLeast" w:line="249" w:before="1320" w:after="0"/>
        <w:ind w:left="4320" w:right="0" w:hanging="0"/>
        <w:jc w:val="left"/>
        <w:rPr>
          <w:rFonts w:ascii="Times New Roman;Times;serif" w:hAnsi="Times New Roman;Times;serif"/>
          <w:sz w:val="22"/>
        </w:rPr>
      </w:pPr>
      <w:r>
        <w:rPr>
          <w:rFonts w:ascii="Times New Roman;Times;serif" w:hAnsi="Times New Roman;Times;serif"/>
          <w:sz w:val="22"/>
        </w:rPr>
        <w:t>Lake Street Capital Markets, LLC</w:t>
      </w:r>
    </w:p>
    <w:p>
      <w:pPr>
        <w:pStyle w:val="TextBody"/>
        <w:bidi w:val="0"/>
        <w:spacing w:lineRule="atLeast" w:line="242" w:before="0" w:after="0"/>
        <w:ind w:left="4320" w:right="0" w:hanging="0"/>
        <w:jc w:val="left"/>
        <w:rPr/>
      </w:pPr>
      <w:r>
        <w:rPr/>
        <w:t>​</w:t>
      </w:r>
    </w:p>
    <w:p>
      <w:pPr>
        <w:pStyle w:val="TextBody"/>
        <w:bidi w:val="0"/>
        <w:spacing w:lineRule="atLeast" w:line="242" w:before="0" w:after="0"/>
        <w:ind w:left="4320" w:right="0" w:hanging="0"/>
        <w:jc w:val="left"/>
        <w:rPr/>
      </w:pPr>
      <w:r>
        <w:rPr/>
        <w:t>​</w:t>
      </w:r>
    </w:p>
    <w:p>
      <w:pPr>
        <w:pStyle w:val="TextBody"/>
        <w:bidi w:val="0"/>
        <w:spacing w:lineRule="atLeast" w:line="242" w:before="0" w:after="0"/>
        <w:ind w:left="432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/s/ Mark Argento</w:t>
      </w:r>
    </w:p>
    <w:p>
      <w:pPr>
        <w:pStyle w:val="TextBody"/>
        <w:bidi w:val="0"/>
        <w:spacing w:lineRule="atLeast" w:line="242" w:before="0" w:after="0"/>
        <w:ind w:left="4320" w:right="0" w:hanging="0"/>
        <w:jc w:val="left"/>
        <w:rPr>
          <w:rFonts w:ascii="Times New Roman;Times;serif" w:hAnsi="Times New Roman;Times;serif"/>
          <w:sz w:val="22"/>
        </w:rPr>
      </w:pPr>
      <w:r>
        <w:rPr>
          <w:rFonts w:ascii="Times New Roman;Times;serif" w:hAnsi="Times New Roman;Times;serif"/>
          <w:sz w:val="22"/>
        </w:rPr>
        <w:t>Name: Mark Argento Title: President</w:t>
      </w:r>
    </w:p>
    <w:p>
      <w:pPr>
        <w:pStyle w:val="TextBody"/>
        <w:bidi w:val="0"/>
        <w:spacing w:lineRule="atLeast" w:line="249" w:before="513" w:after="0"/>
        <w:ind w:left="4320" w:right="0" w:hanging="0"/>
        <w:jc w:val="left"/>
        <w:rPr>
          <w:rFonts w:ascii="Times New Roman;Times;serif" w:hAnsi="Times New Roman;Times;serif"/>
          <w:sz w:val="22"/>
        </w:rPr>
      </w:pPr>
      <w:r>
        <w:rPr>
          <w:rFonts w:ascii="Times New Roman;Times;serif" w:hAnsi="Times New Roman;Times;serif"/>
          <w:sz w:val="22"/>
        </w:rPr>
        <w:t>Laidlaw &amp; Company (UK) Ltd.</w:t>
      </w:r>
    </w:p>
    <w:p>
      <w:pPr>
        <w:pStyle w:val="TextBody"/>
        <w:bidi w:val="0"/>
        <w:spacing w:lineRule="atLeast" w:line="249" w:before="508" w:after="0"/>
        <w:ind w:left="432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/s/ Luke Kottke</w:t>
      </w:r>
      <w:r>
        <w:rPr>
          <w:rFonts w:ascii="Times New Roman;Times;serif" w:hAnsi="Times New Roman;Times;serif"/>
          <w:sz w:val="22"/>
        </w:rPr>
        <w:t xml:space="preserve"> </w:t>
      </w:r>
    </w:p>
    <w:p>
      <w:pPr>
        <w:pStyle w:val="TextBody"/>
        <w:bidi w:val="0"/>
        <w:spacing w:lineRule="atLeast" w:line="249" w:before="3" w:after="0"/>
        <w:ind w:left="4320" w:right="0" w:hanging="0"/>
        <w:jc w:val="left"/>
        <w:rPr>
          <w:rFonts w:ascii="Times New Roman;Times;serif" w:hAnsi="Times New Roman;Times;serif"/>
          <w:sz w:val="22"/>
        </w:rPr>
      </w:pPr>
      <w:r>
        <w:rPr>
          <w:rFonts w:ascii="Times New Roman;Times;serif" w:hAnsi="Times New Roman;Times;serif"/>
          <w:sz w:val="22"/>
        </w:rPr>
        <w:t>Name: Luke Kottke</w:t>
      </w:r>
    </w:p>
    <w:p>
      <w:pPr>
        <w:pStyle w:val="TextBody"/>
        <w:bidi w:val="0"/>
        <w:spacing w:lineRule="atLeast" w:line="249" w:before="6" w:after="0"/>
        <w:ind w:left="4320" w:right="0" w:hanging="0"/>
        <w:jc w:val="left"/>
        <w:rPr>
          <w:rFonts w:ascii="Times New Roman;Times;serif" w:hAnsi="Times New Roman;Times;serif"/>
          <w:sz w:val="22"/>
        </w:rPr>
      </w:pPr>
      <w:r>
        <w:rPr>
          <w:rFonts w:ascii="Times New Roman;Times;serif" w:hAnsi="Times New Roman;Times;serif"/>
          <w:sz w:val="22"/>
        </w:rPr>
        <w:t>Title: Head of Capital Markets</w:t>
      </w:r>
    </w:p>
    <w:p>
      <w:pPr>
        <w:pStyle w:val="TextBody"/>
        <w:bidi w:val="0"/>
        <w:spacing w:lineRule="atLeast" w:line="254" w:before="759" w:after="0"/>
        <w:ind w:left="0" w:right="0" w:hanging="0"/>
        <w:jc w:val="left"/>
        <w:rPr>
          <w:rFonts w:ascii="Times New Roman;Times;serif" w:hAnsi="Times New Roman;Times;serif"/>
          <w:sz w:val="22"/>
        </w:rPr>
      </w:pPr>
      <w:r>
        <w:rPr>
          <w:rFonts w:ascii="Times New Roman;Times;serif" w:hAnsi="Times New Roman;Times;serif"/>
          <w:sz w:val="22"/>
        </w:rPr>
        <w:t xml:space="preserve">Accepted and agreed as of </w:t>
        <w:br/>
        <w:t>the date first above written:</w:t>
      </w:r>
    </w:p>
    <w:p>
      <w:pPr>
        <w:pStyle w:val="TextBody"/>
        <w:bidi w:val="0"/>
        <w:spacing w:lineRule="atLeast" w:line="249" w:before="255" w:after="0"/>
        <w:ind w:left="0" w:right="0" w:hanging="0"/>
        <w:jc w:val="left"/>
        <w:rPr>
          <w:rFonts w:ascii="Times New Roman;Times;serif" w:hAnsi="Times New Roman;Times;serif"/>
          <w:sz w:val="22"/>
        </w:rPr>
      </w:pPr>
      <w:r>
        <w:rPr>
          <w:rFonts w:ascii="Times New Roman;Times;serif" w:hAnsi="Times New Roman;Times;serif"/>
          <w:sz w:val="22"/>
        </w:rPr>
        <w:t>AEON Biopharma, Inc.</w:t>
      </w:r>
    </w:p>
    <w:p>
      <w:pPr>
        <w:pStyle w:val="TextBody"/>
        <w:bidi w:val="0"/>
        <w:spacing w:lineRule="atLeast" w:line="249" w:before="509" w:after="0"/>
        <w:ind w:left="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 xml:space="preserve">/s/ Robert Bancroft </w:t>
      </w:r>
    </w:p>
    <w:p>
      <w:pPr>
        <w:pStyle w:val="TextBody"/>
        <w:bidi w:val="0"/>
        <w:spacing w:lineRule="atLeast" w:line="240" w:before="6" w:after="0"/>
        <w:ind w:left="0" w:right="0" w:hanging="0"/>
        <w:jc w:val="left"/>
        <w:rPr>
          <w:rFonts w:ascii="Times New Roman;Times;serif" w:hAnsi="Times New Roman;Times;serif"/>
          <w:spacing w:val="-1"/>
          <w:sz w:val="22"/>
        </w:rPr>
      </w:pPr>
      <w:r>
        <w:rPr>
          <w:rFonts w:ascii="Times New Roman;Times;serif" w:hAnsi="Times New Roman;Times;serif"/>
          <w:spacing w:val="-1"/>
          <w:sz w:val="22"/>
        </w:rPr>
        <w:t xml:space="preserve">Name: Robert Bancroft </w:t>
      </w:r>
    </w:p>
    <w:p>
      <w:pPr>
        <w:pStyle w:val="TextBody"/>
        <w:bidi w:val="0"/>
        <w:spacing w:lineRule="atLeast" w:line="240" w:before="6" w:after="0"/>
        <w:ind w:left="0" w:right="0" w:hanging="0"/>
        <w:jc w:val="left"/>
        <w:rPr>
          <w:rFonts w:ascii="Times New Roman;Times;serif" w:hAnsi="Times New Roman;Times;serif"/>
          <w:sz w:val="22"/>
        </w:rPr>
      </w:pPr>
      <w:r>
        <w:rPr>
          <w:rFonts w:ascii="Times New Roman;Times;serif" w:hAnsi="Times New Roman;Times;serif"/>
          <w:spacing w:val="-2"/>
          <w:sz w:val="22"/>
        </w:rPr>
        <w:t xml:space="preserve">Title: </w:t>
      </w:r>
      <w:r>
        <w:rPr>
          <w:rFonts w:ascii="Times New Roman;Times;serif" w:hAnsi="Times New Roman;Times;serif"/>
          <w:sz w:val="22"/>
        </w:rPr>
        <w:t>Chief Executive Office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125" w:name="aeon-20260713xex99d1.htm"/>
      <w:bookmarkStart w:id="126" w:name="ksaeon20260713xex99d1"/>
      <w:bookmarkEnd w:id="125"/>
      <w:bookmarkEnd w:id="126"/>
      <w:r>
        <w:rPr>
          <w:rFonts w:ascii="Times New Roman;Times;serif" w:hAnsi="Times New Roman;Times;serif"/>
          <w:sz w:val="20"/>
        </w:rPr>
        <w:t>Exhibit 99.1</w:t>
      </w:r>
      <w:r>
        <w:br w:type="page"/>
      </w:r>
    </w:p>
    <w:p>
      <w:pPr>
        <w:pStyle w:val="TextBody"/>
        <w:bidi w:val="0"/>
        <w:spacing w:before="0" w:after="0"/>
        <w:ind w:left="120" w:right="0" w:hanging="0"/>
        <w:jc w:val="left"/>
        <w:rPr/>
      </w:pPr>
      <w:r>
        <w:rPr/>
        <w:drawing>
          <wp:inline distT="0" distB="0" distL="0" distR="0">
            <wp:extent cx="1647825" cy="40957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647825" cy="4095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AEON Biopharma Announces Pricing Of Upsized $13.75 Million Public Offering with Accompanying Milestone Warrants Providing Potential for Additional Future Funding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$13.75 million underwritten public offering with up to an additional $29.6 million in potential proceeds tied to the cash exercise in full of the milestone warrants issued in the offering</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IRVINE, Calif., July 13, 2026 -- </w:t>
      </w:r>
      <w:r>
        <w:rPr>
          <w:rFonts w:ascii="Times New Roman;Times;serif" w:hAnsi="Times New Roman;Times;serif"/>
          <w:sz w:val="20"/>
        </w:rPr>
        <w:t xml:space="preserve">AEON Biopharma, Inc. (“AEON” or the “Company”) (NYSE American: AEON), a biopharmaceutical company advancing ABP-450 as a biosimilar to BOTOX® (onabotulinumtoxinA) for therapeutic use to achieve full-label U.S. market entry, today announced the pricing of its underwritten public offering to raise up to approximately $43.3 million in gross proceeds based on the approximately $13.75 million in expected gross proceeds from the offering and up to an additional $29.6 million in potential gross proceeds upon the cash exercise in full of the milestone warrants issued in the offering. </w:t>
      </w:r>
    </w:p>
    <w:p>
      <w:pPr>
        <w:pStyle w:val="TextBody"/>
        <w:bidi w:val="0"/>
        <w:spacing w:lineRule="auto" w:line="307"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offering consists of 42,688,606 shares of common stock of the Company (or pre-funded warrants in lieu thereof), with each share of common stock or pre-funded warrant accompanied by one two-year milestone warrant to purchase one share of common stock (or one pre-funded warrant in lieu thereof) and one five-year milestone warrant to purchase one share of common stock (or one pre-funded warrant in lieu thereof). The combined public offering price is $0.3221 per share of common stock (or $0.3220 per pre-funded warrant) and accompanying two-year milestone warrant and five-year milestone warrant. Each pre-funded warrant has an exercise price of $0.0001 per share of common stock. Each two-year milestone warrant has an exercise price of $0.3221 per share of common stock and each five-year milestone warrant has an exercise price of $0.3704 per share of common stock. Each pre-funded warrant, two-year milestone warrant and five-year milestone warrant will be immediately exercisable upon issuance. The pre-funded warrants may be exercised at any time until exercised in full.  Each two-year milestone warrant will expire on the earlier of (i) the second anniversary of the date of issuance or (ii) 45 days following the Company's public announcement of the achievement of a specified regulatory milestone with respect to ABP-450. Each five-year milestone warrant will expire on the earlier of (i) the fifth anniversary of the date of issuance or (ii) 45 days following the Company's public announcement of the achievement of a specified clinical development milestone with respect to ABP-450.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gross proceeds to the Company from this offering are expected to be approximately $13.75 million, before deducting underwriting discounts and commissions and other estimated offering expenses. If all of the two-year milestone warrants and all of the five-year milestone warrants sold in this offering were to be exercised in cash at their exercise price, we would receive additional gross proceeds of approximately $29.6 million, before deducting expenses and fees. The Company has also granted the representative a 30-day option to purchase up to an additional 6,403,290 shares of common stock (or pre-funded warrants in lieu thereof) and/or two-year milestone warrants to purchase up to an additional 6,403,290 shares of common stock (or pre-funded warrants in lieu thereof) and/or five-year milestone warrants to purchase up to an additional 6,403,290 shares of common stock (or pre-funded warrants in lieu thereof) solely to cover over-allotments, if 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is expected to close on or about July 15, 2026, subject to satisfaction or waiver of customary closing conditions.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proceeds from this offering are expected to be used for working capital and general corporate purposes, including conducting comparative analytical testing on ABP-450 to support biosimilarity to BOTOX®.</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Lake Street Capital Markets, LLC is acting as the sole bookrunner for this offering. Laidlaw &amp; Company (UK) Ltd. is acting as lead manager for the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Registration Statement on Form S-1 (File No. 333-297327), as amended, relating to the securities was initially filed with the Securities and Exchange Commission (“SEC”) on July 8, 2026 and was declared effective on July 13, 2026</w:t>
      </w:r>
      <w:bookmarkStart w:id="127" w:name="_Hlk219192322"/>
      <w:bookmarkEnd w:id="127"/>
      <w:r>
        <w:rPr>
          <w:rFonts w:ascii="Times New Roman;Times;serif" w:hAnsi="Times New Roman;Times;serif"/>
          <w:sz w:val="20"/>
        </w:rPr>
        <w:t xml:space="preserve">, and a related registration statement was filed with the SEC on July 13, 2026 pursuant to Rule 462(b) under the Securities Act of 1933, as amended, and became automatically effective upon filing (together, the “Registration Statement”). This offering is being made only by means of a preliminary prospectus forming a part of the Registration Statement and a final prospectus. The Registration Statement and the preliminary prospectus relating to the offering are available for free on the SEC’s website at www.sec.gov. Copies of the final prospectus, when available, may be obtained from Lake Street Capital Markets, LLC, 121 S 8th St Suite 1000, Minneapolis, MN 55402, or e-mail at prospectus@lakestreetcm.com. The final prospectus will be filed with the SEC and will be available on the SEC’s website located at www.sec.gov.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Exhibit 99.1</w:t>
      </w:r>
    </w:p>
    <w:p>
      <w:pPr>
        <w:pStyle w:val="TextBody"/>
        <w:bidi w:val="0"/>
        <w:spacing w:before="0" w:after="0"/>
        <w:ind w:left="0" w:right="0" w:hanging="0"/>
        <w:jc w:val="left"/>
        <w:rPr/>
      </w:pPr>
      <w:r>
        <w:rPr/>
        <w:t> </w:t>
      </w:r>
      <w:r>
        <w:rPr>
          <w:rFonts w:ascii="Times New Roman;Times;serif" w:hAnsi="Times New Roman;Times;serif"/>
          <w:b/>
          <w:sz w:val="20"/>
        </w:rPr>
        <w:t>About AEON Biopharma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AEON Biopharma is a biopharmaceutical company advancing ABP-450 as a proposed biosimilar to BOTOX® for therapeutic indications. The U.S. therapeutic neurotoxin market exceeds $3.0 billion annually, representing a major opportunity for biosimilar entry. ABP-450 is the same botulinum toxin complex currently approved and marketed for cosmetic indications by Evolus, Inc. under the name Jeuveau®. ABP-450 is manufactured by Daewoong Pharmaceutical in a facility that has been authorized by the U.S. Food and Drug Administration, Health Canada, and European Medicines Agency for the manufacture of third-party botulinum toxin products. AEON has exclusive development and distribution rights for therapeutic indications of ABP-450 in the United States, Canada, the European Union, the United Kingdom, and certain other international territories.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contains statements that may be deemed "forward-looking statements" within the meaning of U.S. securities laws. All statements in this press release other than statements of historical fact are forward-looking statements. These forward-looking statements may be identified by future verbs, as well as terms such as "expect," "anticipate," "intend," "believe," "estimate," "will," and similar expressions or the negatives thereof. Such statements are based upon certain assumptions and assessments made by management in light of their experience and their perception of historical trends, current conditions, expected future developments and other factors they believe to be appropriate. The forward-looking statements included in this press release could differ materially from those expressed or implied by these forward-looking statements because of risks, uncertainties, and other factors that include, but are not limited to: expectations regarding the completion of the offering and the use of proceeds thereof; the Company's ability to achieve the milestones underlying the two-year and five-year milestone warrants; the Company's ability to advance ABP-450 through the Section 351(k) biosimilar pathway; the Company's ability to maintain compliance with the continued listing standards of the NYSE American; the Company's ability to complete its preclinical and clinical studies; and changes in local or national economic conditions. This list of risks, uncertainties, and other factors is not complete. Any or all forward-looking statements the Company makes may turn out to be wrong. Accordingly, you should not place undue reliance on the forward-looking statements made in this press release, which speak only as of its date. The Company assumes no responsibility to update or revise any forward-looking statements to reflect events, trends or circumstances after the date they are made unless the Company has an obligation under U.S. federal securities laws to do 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Investor Contact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Hershel Berry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Blueprint Life Science Group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hberry@Bplifescience.com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 AEON Biopharma</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1.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4.jpeg"/><Relationship Id="rId22" Type="http://schemas.openxmlformats.org/officeDocument/2006/relationships/image" Target="media/image4.jpeg"/><Relationship Id="rId23" Type="http://schemas.openxmlformats.org/officeDocument/2006/relationships/image" Target="media/image1.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89723</Words>
  <Characters>469882</Characters>
  <CharactersWithSpaces>559511</CharactersWithSpaces>
  <Paragraphs>1976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