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38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FISCHER JOST</w:t>
              </w:r>
            </w:hyperlink>
          </w:p>
        </w:tc>
        <w:tc>
          <w:tcPr>
            <w:tcW w:w="12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AEON Biopharma,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AEON</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380" w:type="dxa"/>
            <w:vAlign w:val="bottom"/>
            <w:gridSpan w:val="3"/>
            <w:vMerge w:val="continue"/>
          </w:tcPr>
          <w:p>
            <w:pPr>
              <w:spacing w:after="0"/>
              <w:rPr>
                <w:sz w:val="6"/>
                <w:szCs w:val="6"/>
                <w:color w:val="auto"/>
              </w:rPr>
            </w:pPr>
          </w:p>
        </w:tc>
        <w:tc>
          <w:tcPr>
            <w:tcW w:w="12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020" w:type="dxa"/>
            <w:vAlign w:val="bottom"/>
            <w:tcBorders>
              <w:bottom w:val="single" w:sz="8" w:color="0000EE"/>
            </w:tcBorders>
          </w:tcPr>
          <w:p>
            <w:pPr>
              <w:spacing w:after="0"/>
              <w:rPr>
                <w:sz w:val="6"/>
                <w:szCs w:val="6"/>
                <w:color w:val="auto"/>
              </w:rPr>
            </w:pPr>
          </w:p>
        </w:tc>
        <w:tc>
          <w:tcPr>
            <w:tcW w:w="172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380" w:type="dxa"/>
            <w:vAlign w:val="bottom"/>
            <w:gridSpan w:val="3"/>
            <w:vMerge w:val="continue"/>
          </w:tcPr>
          <w:p>
            <w:pPr>
              <w:spacing w:after="0"/>
              <w:rPr>
                <w:sz w:val="5"/>
                <w:szCs w:val="5"/>
                <w:color w:val="auto"/>
              </w:rPr>
            </w:pPr>
          </w:p>
        </w:tc>
        <w:tc>
          <w:tcPr>
            <w:tcW w:w="12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20" w:type="dxa"/>
            <w:vAlign w:val="bottom"/>
          </w:tcPr>
          <w:p>
            <w:pPr>
              <w:spacing w:after="0"/>
              <w:rPr>
                <w:sz w:val="5"/>
                <w:szCs w:val="5"/>
                <w:color w:val="auto"/>
              </w:rPr>
            </w:pPr>
          </w:p>
        </w:tc>
        <w:tc>
          <w:tcPr>
            <w:tcW w:w="172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640" w:type="dxa"/>
            <w:vAlign w:val="bottom"/>
            <w:tcBorders>
              <w:top w:val="single" w:sz="8" w:color="0000EE"/>
            </w:tcBorders>
          </w:tcPr>
          <w:p>
            <w:pPr>
              <w:spacing w:after="0"/>
              <w:rPr>
                <w:sz w:val="6"/>
                <w:szCs w:val="6"/>
                <w:color w:val="auto"/>
              </w:rPr>
            </w:pPr>
          </w:p>
        </w:tc>
        <w:tc>
          <w:tcPr>
            <w:tcW w:w="960" w:type="dxa"/>
            <w:vAlign w:val="bottom"/>
          </w:tcPr>
          <w:p>
            <w:pPr>
              <w:spacing w:after="0"/>
              <w:rPr>
                <w:sz w:val="6"/>
                <w:szCs w:val="6"/>
                <w:color w:val="auto"/>
              </w:rPr>
            </w:pPr>
          </w:p>
        </w:tc>
        <w:tc>
          <w:tcPr>
            <w:tcW w:w="12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020" w:type="dxa"/>
            <w:vAlign w:val="bottom"/>
          </w:tcPr>
          <w:p>
            <w:pPr>
              <w:spacing w:after="0"/>
              <w:rPr>
                <w:sz w:val="6"/>
                <w:szCs w:val="6"/>
                <w:color w:val="auto"/>
              </w:rPr>
            </w:pPr>
          </w:p>
        </w:tc>
        <w:tc>
          <w:tcPr>
            <w:tcW w:w="172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640" w:type="dxa"/>
            <w:vAlign w:val="bottom"/>
            <w:tcBorders>
              <w:top w:val="single" w:sz="8" w:color="EEEEEE"/>
            </w:tcBorders>
          </w:tcPr>
          <w:p>
            <w:pPr>
              <w:spacing w:after="0"/>
              <w:rPr>
                <w:sz w:val="2"/>
                <w:szCs w:val="2"/>
                <w:color w:val="auto"/>
              </w:rPr>
            </w:pPr>
          </w:p>
        </w:tc>
        <w:tc>
          <w:tcPr>
            <w:tcW w:w="960" w:type="dxa"/>
            <w:vAlign w:val="bottom"/>
            <w:tcBorders>
              <w:top w:val="single" w:sz="8" w:color="EEEEEE"/>
            </w:tcBorders>
          </w:tcPr>
          <w:p>
            <w:pPr>
              <w:spacing w:after="0"/>
              <w:rPr>
                <w:sz w:val="2"/>
                <w:szCs w:val="2"/>
                <w:color w:val="auto"/>
              </w:rPr>
            </w:pPr>
          </w:p>
        </w:tc>
        <w:tc>
          <w:tcPr>
            <w:tcW w:w="126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60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260" w:type="dxa"/>
            <w:vAlign w:val="bottom"/>
            <w:vMerge w:val="restart"/>
          </w:tcPr>
          <w:p>
            <w:pPr>
              <w:ind w:left="6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600" w:type="dxa"/>
            <w:vAlign w:val="bottom"/>
            <w:gridSpan w:val="2"/>
            <w:vMerge w:val="continue"/>
          </w:tcPr>
          <w:p>
            <w:pPr>
              <w:spacing w:after="0"/>
              <w:rPr>
                <w:sz w:val="8"/>
                <w:szCs w:val="8"/>
                <w:color w:val="auto"/>
              </w:rPr>
            </w:pPr>
          </w:p>
        </w:tc>
        <w:tc>
          <w:tcPr>
            <w:tcW w:w="1260" w:type="dxa"/>
            <w:vAlign w:val="bottom"/>
            <w:vMerge w:val="continue"/>
          </w:tcPr>
          <w:p>
            <w:pPr>
              <w:spacing w:after="0"/>
              <w:rPr>
                <w:sz w:val="8"/>
                <w:szCs w:val="8"/>
                <w:color w:val="auto"/>
              </w:rPr>
            </w:pPr>
          </w:p>
        </w:tc>
        <w:tc>
          <w:tcPr>
            <w:tcW w:w="218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06/17/2026</w:t>
            </w:r>
          </w:p>
        </w:tc>
        <w:tc>
          <w:tcPr>
            <w:tcW w:w="172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38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AEON BIOPHARMA, INC.</w:t>
            </w:r>
          </w:p>
        </w:tc>
        <w:tc>
          <w:tcPr>
            <w:tcW w:w="1260" w:type="dxa"/>
            <w:vAlign w:val="bottom"/>
          </w:tcPr>
          <w:p>
            <w:pPr>
              <w:spacing w:after="0"/>
              <w:rPr>
                <w:sz w:val="11"/>
                <w:szCs w:val="11"/>
                <w:color w:val="auto"/>
              </w:rPr>
            </w:pPr>
          </w:p>
        </w:tc>
        <w:tc>
          <w:tcPr>
            <w:tcW w:w="2180" w:type="dxa"/>
            <w:vAlign w:val="bottom"/>
            <w:gridSpan w:val="3"/>
            <w:vMerge w:val="continue"/>
          </w:tcPr>
          <w:p>
            <w:pPr>
              <w:spacing w:after="0"/>
              <w:rPr>
                <w:sz w:val="11"/>
                <w:szCs w:val="11"/>
                <w:color w:val="auto"/>
              </w:rPr>
            </w:pPr>
          </w:p>
        </w:tc>
        <w:tc>
          <w:tcPr>
            <w:tcW w:w="172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380" w:type="dxa"/>
            <w:vAlign w:val="bottom"/>
            <w:gridSpan w:val="3"/>
            <w:vMerge w:val="continue"/>
          </w:tcPr>
          <w:p>
            <w:pPr>
              <w:spacing w:after="0"/>
              <w:rPr>
                <w:sz w:val="12"/>
                <w:szCs w:val="12"/>
                <w:color w:val="auto"/>
              </w:rPr>
            </w:pPr>
          </w:p>
        </w:tc>
        <w:tc>
          <w:tcPr>
            <w:tcW w:w="1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238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5 PARK PLAZA, SUITE 1750</w:t>
            </w:r>
          </w:p>
        </w:tc>
        <w:tc>
          <w:tcPr>
            <w:tcW w:w="1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020" w:type="dxa"/>
            <w:vAlign w:val="bottom"/>
            <w:tcBorders>
              <w:bottom w:val="single" w:sz="8" w:color="2C2C2C"/>
            </w:tcBorders>
          </w:tcPr>
          <w:p>
            <w:pPr>
              <w:spacing w:after="0"/>
              <w:rPr>
                <w:sz w:val="12"/>
                <w:szCs w:val="12"/>
                <w:color w:val="auto"/>
              </w:rPr>
            </w:pPr>
          </w:p>
        </w:tc>
        <w:tc>
          <w:tcPr>
            <w:tcW w:w="172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380" w:type="dxa"/>
            <w:vAlign w:val="bottom"/>
            <w:gridSpan w:val="3"/>
            <w:vMerge w:val="continue"/>
          </w:tcPr>
          <w:p>
            <w:pPr>
              <w:spacing w:after="0"/>
              <w:rPr>
                <w:sz w:val="9"/>
                <w:szCs w:val="9"/>
                <w:color w:val="auto"/>
              </w:rPr>
            </w:pPr>
          </w:p>
        </w:tc>
        <w:tc>
          <w:tcPr>
            <w:tcW w:w="12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640" w:type="dxa"/>
            <w:vAlign w:val="bottom"/>
          </w:tcPr>
          <w:p>
            <w:pPr>
              <w:spacing w:after="0"/>
              <w:rPr>
                <w:sz w:val="8"/>
                <w:szCs w:val="8"/>
                <w:color w:val="auto"/>
              </w:rPr>
            </w:pPr>
          </w:p>
        </w:tc>
        <w:tc>
          <w:tcPr>
            <w:tcW w:w="960" w:type="dxa"/>
            <w:vAlign w:val="bottom"/>
          </w:tcPr>
          <w:p>
            <w:pPr>
              <w:spacing w:after="0"/>
              <w:rPr>
                <w:sz w:val="8"/>
                <w:szCs w:val="8"/>
                <w:color w:val="auto"/>
              </w:rPr>
            </w:pPr>
          </w:p>
        </w:tc>
        <w:tc>
          <w:tcPr>
            <w:tcW w:w="12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9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7"/>
                <w:szCs w:val="17"/>
                <w:color w:val="0000FF"/>
              </w:rPr>
              <w:t>IRVINE</w:t>
            </w:r>
          </w:p>
        </w:tc>
        <w:tc>
          <w:tcPr>
            <w:tcW w:w="1140" w:type="dxa"/>
            <w:vAlign w:val="bottom"/>
          </w:tcPr>
          <w:p>
            <w:pPr>
              <w:ind w:left="32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92614</w:t>
            </w:r>
          </w:p>
        </w:tc>
      </w:tr>
      <w:tr>
        <w:trPr>
          <w:trHeight w:val="155"/>
        </w:trPr>
        <w:tc>
          <w:tcPr>
            <w:tcW w:w="40" w:type="dxa"/>
            <w:vAlign w:val="bottom"/>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Arial" w:cs="Arial" w:eastAsia="Arial" w:hAnsi="Arial"/>
                <w:sz w:val="13"/>
                <w:szCs w:val="13"/>
                <w:color w:val="auto"/>
              </w:rPr>
              <w:t>(City)</w:t>
            </w:r>
          </w:p>
        </w:tc>
        <w:tc>
          <w:tcPr>
            <w:tcW w:w="1140" w:type="dxa"/>
            <w:vAlign w:val="bottom"/>
          </w:tcPr>
          <w:p>
            <w:pPr>
              <w:ind w:left="3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6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6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42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r>
              <w:rPr>
                <w:rFonts w:ascii="Times New Roman" w:cs="Times New Roman" w:eastAsia="Times New Roman" w:hAnsi="Times New Roman"/>
                <w:sz w:val="22"/>
                <w:szCs w:val="22"/>
                <w:color w:val="008000"/>
                <w:vertAlign w:val="superscript"/>
              </w:rPr>
              <w:t>(1)</w:t>
            </w: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06/17/2026</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4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222,684</w:t>
            </w:r>
          </w:p>
        </w:tc>
        <w:tc>
          <w:tcPr>
            <w:tcW w:w="4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gridSpan w:val="3"/>
          </w:tcPr>
          <w:p>
            <w:pPr>
              <w:jc w:val="right"/>
              <w:ind w:right="80"/>
              <w:spacing w:after="0" w:line="319" w:lineRule="exact"/>
              <w:rPr>
                <w:sz w:val="20"/>
                <w:szCs w:val="20"/>
                <w:color w:val="auto"/>
              </w:rPr>
            </w:pPr>
            <w:r>
              <w:rPr>
                <w:rFonts w:ascii="Arial" w:cs="Arial" w:eastAsia="Arial" w:hAnsi="Arial"/>
                <w:sz w:val="34"/>
                <w:szCs w:val="34"/>
                <w:color w:val="000000"/>
                <w:vertAlign w:val="subscript"/>
              </w:rPr>
              <w:t>$</w:t>
            </w:r>
            <w:r>
              <w:rPr>
                <w:rFonts w:ascii="Times New Roman" w:cs="Times New Roman" w:eastAsia="Times New Roman" w:hAnsi="Times New Roman"/>
                <w:sz w:val="34"/>
                <w:szCs w:val="34"/>
                <w:color w:val="0000FF"/>
                <w:vertAlign w:val="subscript"/>
              </w:rPr>
              <w:t>0</w:t>
            </w:r>
            <w:r>
              <w:rPr>
                <w:rFonts w:ascii="Times New Roman" w:cs="Times New Roman" w:eastAsia="Times New Roman" w:hAnsi="Times New Roman"/>
                <w:sz w:val="11"/>
                <w:szCs w:val="11"/>
                <w:color w:val="008000"/>
              </w:rPr>
              <w:t>(1)</w:t>
            </w: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489,469</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gridSpan w:val="2"/>
          </w:tcPr>
          <w:p>
            <w:pPr>
              <w:ind w:left="2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36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an award of restricted stock units ("RSUs") granted on June 17, 2026 (the "Grant Date"). The RSUs vest in full on the earlier to occur of (i) the one (1) year anniversary of the Grant Date and (ii) the date of the 2027 annual meeting of the Company's stockholders, subject to continued service through the applicable vesting date.</w:t>
      </w:r>
    </w:p>
    <w:p>
      <w:pPr>
        <w:spacing w:after="0" w:line="33"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Alexander Wilson,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0769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076960" cy="8255"/>
                    </a:xfrm>
                    <a:prstGeom prst="rect">
                      <a:avLst/>
                    </a:prstGeom>
                    <a:noFill/>
                  </pic:spPr>
                </pic:pic>
              </a:graphicData>
            </a:graphic>
          </wp:anchor>
        </w:drawing>
      </w:r>
    </w:p>
    <w:p>
      <w:pPr>
        <w:spacing w:after="0" w:line="11" w:lineRule="exact"/>
        <w:rPr>
          <w:sz w:val="20"/>
          <w:szCs w:val="20"/>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Attorney-in-Fact, for Jost</w:t>
      </w:r>
      <w:r>
        <w:rPr>
          <w:sz w:val="20"/>
          <w:szCs w:val="20"/>
          <w:color w:val="auto"/>
        </w:rPr>
        <w:tab/>
      </w:r>
      <w:r>
        <w:rPr>
          <w:rFonts w:ascii="Times New Roman" w:cs="Times New Roman" w:eastAsia="Times New Roman" w:hAnsi="Times New Roman"/>
          <w:sz w:val="17"/>
          <w:szCs w:val="17"/>
          <w:color w:val="0000FF"/>
        </w:rPr>
        <w:t>06/22/2026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Fischer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32385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323850" cy="8255"/>
                    </a:xfrm>
                    <a:prstGeom prst="rect">
                      <a:avLst/>
                    </a:prstGeom>
                    <a:noFill/>
                  </pic:spPr>
                </pic:pic>
              </a:graphicData>
            </a:graphic>
          </wp:anchor>
        </w:drawing>
      </w:r>
    </w:p>
    <w:p>
      <w:pPr>
        <w:spacing w:after="0" w:line="40"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366841" TargetMode="External"/><Relationship Id="rId14" Type="http://schemas.openxmlformats.org/officeDocument/2006/relationships/hyperlink" Target="http://www.sec.gov/cgi-bin/browse-edgar?action=getcompany&amp;CIK=000183760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2026-06-22T17:19:25Z</dcterms:created>
  <dcterms:modified xsi:type="dcterms:W3CDTF">2026-06-22T17:19:25Z</dcterms:modified>
</cp:coreProperties>
</file>